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E98F" w14:textId="13C3598C" w:rsidR="0064337E" w:rsidRPr="003252DA" w:rsidRDefault="00FB0002" w:rsidP="006433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and Governance Board</w:t>
      </w:r>
      <w:r w:rsidRPr="003252DA">
        <w:rPr>
          <w:rFonts w:ascii="Arial" w:hAnsi="Arial" w:cs="Arial"/>
          <w:b/>
          <w:sz w:val="20"/>
          <w:szCs w:val="20"/>
        </w:rPr>
        <w:t xml:space="preserve"> </w:t>
      </w:r>
      <w:r w:rsidR="005E5869">
        <w:rPr>
          <w:rFonts w:ascii="Arial" w:hAnsi="Arial" w:cs="Arial"/>
          <w:b/>
          <w:sz w:val="20"/>
          <w:szCs w:val="20"/>
        </w:rPr>
        <w:t xml:space="preserve">- </w:t>
      </w:r>
      <w:r w:rsidR="0064337E" w:rsidRPr="003252DA">
        <w:rPr>
          <w:rFonts w:ascii="Arial" w:hAnsi="Arial" w:cs="Arial"/>
          <w:b/>
          <w:sz w:val="20"/>
          <w:szCs w:val="20"/>
        </w:rPr>
        <w:t xml:space="preserve">SRS </w:t>
      </w:r>
      <w:r w:rsidR="00C04996" w:rsidRPr="003252DA">
        <w:rPr>
          <w:rFonts w:ascii="Arial" w:hAnsi="Arial" w:cs="Arial"/>
          <w:b/>
          <w:sz w:val="20"/>
          <w:szCs w:val="20"/>
        </w:rPr>
        <w:t>Audit Update</w:t>
      </w:r>
    </w:p>
    <w:p w14:paraId="3D16DBB5" w14:textId="23B7BAF4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>DATE:</w:t>
      </w:r>
      <w:r w:rsidR="008D218A">
        <w:rPr>
          <w:rFonts w:ascii="Arial" w:hAnsi="Arial" w:cs="Arial"/>
          <w:b/>
          <w:sz w:val="20"/>
          <w:szCs w:val="20"/>
        </w:rPr>
        <w:t xml:space="preserve"> </w:t>
      </w:r>
      <w:r w:rsidR="009A2972">
        <w:rPr>
          <w:rFonts w:ascii="Arial" w:hAnsi="Arial" w:cs="Arial"/>
          <w:b/>
          <w:sz w:val="20"/>
          <w:szCs w:val="20"/>
        </w:rPr>
        <w:t>Ma</w:t>
      </w:r>
      <w:r w:rsidR="004037B8">
        <w:rPr>
          <w:rFonts w:ascii="Arial" w:hAnsi="Arial" w:cs="Arial"/>
          <w:b/>
          <w:sz w:val="20"/>
          <w:szCs w:val="20"/>
        </w:rPr>
        <w:t>y</w:t>
      </w:r>
      <w:r w:rsidR="008E3DBE">
        <w:rPr>
          <w:rFonts w:ascii="Arial" w:hAnsi="Arial" w:cs="Arial"/>
          <w:b/>
          <w:sz w:val="20"/>
          <w:szCs w:val="20"/>
        </w:rPr>
        <w:t xml:space="preserve"> </w:t>
      </w:r>
      <w:r w:rsidR="004037B8">
        <w:rPr>
          <w:rFonts w:ascii="Arial" w:hAnsi="Arial" w:cs="Arial"/>
          <w:b/>
          <w:sz w:val="20"/>
          <w:szCs w:val="20"/>
        </w:rPr>
        <w:t>6</w:t>
      </w:r>
      <w:r w:rsidR="009A2972">
        <w:rPr>
          <w:rFonts w:ascii="Arial" w:hAnsi="Arial" w:cs="Arial"/>
          <w:b/>
          <w:sz w:val="20"/>
          <w:szCs w:val="20"/>
        </w:rPr>
        <w:t>th</w:t>
      </w:r>
      <w:r w:rsidR="00463452">
        <w:rPr>
          <w:rFonts w:ascii="Arial" w:hAnsi="Arial" w:cs="Arial"/>
          <w:b/>
          <w:sz w:val="20"/>
          <w:szCs w:val="20"/>
        </w:rPr>
        <w:t>,</w:t>
      </w:r>
      <w:r w:rsidR="00C04996" w:rsidRPr="003252DA">
        <w:rPr>
          <w:rFonts w:ascii="Arial" w:hAnsi="Arial" w:cs="Arial"/>
          <w:b/>
          <w:sz w:val="20"/>
          <w:szCs w:val="20"/>
        </w:rPr>
        <w:t xml:space="preserve"> 202</w:t>
      </w:r>
      <w:r w:rsidR="00687992">
        <w:rPr>
          <w:rFonts w:ascii="Arial" w:hAnsi="Arial" w:cs="Arial"/>
          <w:b/>
          <w:sz w:val="20"/>
          <w:szCs w:val="20"/>
        </w:rPr>
        <w:t>5</w:t>
      </w:r>
    </w:p>
    <w:p w14:paraId="30F7708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</w:p>
    <w:p w14:paraId="1FA54A68" w14:textId="5700912F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52DA">
        <w:rPr>
          <w:rFonts w:ascii="Arial" w:hAnsi="Arial" w:cs="Arial"/>
          <w:b/>
          <w:sz w:val="20"/>
          <w:szCs w:val="20"/>
          <w:u w:val="single"/>
        </w:rPr>
        <w:t xml:space="preserve">SUBJECT: 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20</w:t>
      </w:r>
      <w:r w:rsidR="0067409B" w:rsidRPr="003252DA">
        <w:rPr>
          <w:rFonts w:ascii="Arial" w:hAnsi="Arial" w:cs="Arial"/>
          <w:b/>
          <w:sz w:val="20"/>
          <w:szCs w:val="20"/>
          <w:u w:val="single"/>
        </w:rPr>
        <w:t>2</w:t>
      </w:r>
      <w:r w:rsidR="00E475B7">
        <w:rPr>
          <w:rFonts w:ascii="Arial" w:hAnsi="Arial" w:cs="Arial"/>
          <w:b/>
          <w:sz w:val="20"/>
          <w:szCs w:val="20"/>
          <w:u w:val="single"/>
        </w:rPr>
        <w:t>4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-2</w:t>
      </w:r>
      <w:r w:rsidR="00E475B7">
        <w:rPr>
          <w:rFonts w:ascii="Arial" w:hAnsi="Arial" w:cs="Arial"/>
          <w:b/>
          <w:sz w:val="20"/>
          <w:szCs w:val="20"/>
          <w:u w:val="single"/>
        </w:rPr>
        <w:t>5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>Audit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Plan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 xml:space="preserve"> Update</w:t>
      </w:r>
    </w:p>
    <w:p w14:paraId="23243D51" w14:textId="77777777" w:rsidR="0064337E" w:rsidRPr="003252DA" w:rsidRDefault="0064337E" w:rsidP="0064337E">
      <w:pPr>
        <w:jc w:val="both"/>
        <w:rPr>
          <w:rFonts w:ascii="Arial" w:hAnsi="Arial" w:cs="Arial"/>
          <w:i/>
          <w:sz w:val="20"/>
          <w:szCs w:val="20"/>
        </w:rPr>
      </w:pPr>
    </w:p>
    <w:p w14:paraId="4051157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Submitted by:</w:t>
      </w:r>
      <w:r w:rsidR="00837EA7" w:rsidRPr="003252DA">
        <w:rPr>
          <w:rFonts w:ascii="Arial" w:hAnsi="Arial" w:cs="Arial"/>
          <w:sz w:val="20"/>
          <w:szCs w:val="20"/>
        </w:rPr>
        <w:t xml:space="preserve"> Matt Lewis (COO SRS)</w:t>
      </w:r>
      <w:r w:rsidRPr="003252DA">
        <w:rPr>
          <w:rFonts w:ascii="Arial" w:hAnsi="Arial" w:cs="Arial"/>
          <w:sz w:val="20"/>
          <w:szCs w:val="20"/>
        </w:rPr>
        <w:t xml:space="preserve">  </w:t>
      </w:r>
    </w:p>
    <w:p w14:paraId="01B1ED59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Written by:</w:t>
      </w:r>
      <w:r w:rsidR="00837EA7" w:rsidRPr="003252DA">
        <w:rPr>
          <w:rFonts w:ascii="Arial" w:hAnsi="Arial" w:cs="Arial"/>
          <w:sz w:val="20"/>
          <w:szCs w:val="20"/>
        </w:rPr>
        <w:t xml:space="preserve"> </w:t>
      </w:r>
      <w:r w:rsidR="00565362">
        <w:rPr>
          <w:rFonts w:ascii="Arial" w:hAnsi="Arial" w:cs="Arial"/>
          <w:sz w:val="20"/>
          <w:szCs w:val="20"/>
        </w:rPr>
        <w:t>Kath Beavan-Seymour</w:t>
      </w:r>
      <w:r w:rsidR="00837EA7" w:rsidRPr="003252DA">
        <w:rPr>
          <w:rFonts w:ascii="Arial" w:hAnsi="Arial" w:cs="Arial"/>
          <w:sz w:val="20"/>
          <w:szCs w:val="20"/>
        </w:rPr>
        <w:t xml:space="preserve"> (</w:t>
      </w:r>
      <w:r w:rsidR="00565362">
        <w:rPr>
          <w:rFonts w:ascii="Arial" w:hAnsi="Arial" w:cs="Arial"/>
          <w:sz w:val="20"/>
          <w:szCs w:val="20"/>
        </w:rPr>
        <w:t xml:space="preserve">Deputy </w:t>
      </w:r>
      <w:r w:rsidR="00837EA7" w:rsidRPr="003252DA">
        <w:rPr>
          <w:rFonts w:ascii="Arial" w:hAnsi="Arial" w:cs="Arial"/>
          <w:sz w:val="20"/>
          <w:szCs w:val="20"/>
        </w:rPr>
        <w:t>COO SRS)</w:t>
      </w:r>
    </w:p>
    <w:p w14:paraId="21EB24C2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"/>
        <w:gridCol w:w="8741"/>
      </w:tblGrid>
      <w:tr w:rsidR="006850F7" w:rsidRPr="003252DA" w14:paraId="70C63F36" w14:textId="77777777" w:rsidTr="00E36D37">
        <w:tc>
          <w:tcPr>
            <w:tcW w:w="365" w:type="pct"/>
          </w:tcPr>
          <w:p w14:paraId="54EDED83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635" w:type="pct"/>
          </w:tcPr>
          <w:p w14:paraId="46BD8C90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Area Affected</w:t>
            </w:r>
          </w:p>
        </w:tc>
      </w:tr>
      <w:tr w:rsidR="006850F7" w:rsidRPr="003252DA" w14:paraId="049A68C3" w14:textId="77777777" w:rsidTr="00E36D37">
        <w:tc>
          <w:tcPr>
            <w:tcW w:w="365" w:type="pct"/>
          </w:tcPr>
          <w:p w14:paraId="0073DEBA" w14:textId="0612FF7F" w:rsidR="0064337E" w:rsidRPr="003252DA" w:rsidRDefault="00EE48E2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35" w:type="pct"/>
          </w:tcPr>
          <w:p w14:paraId="78342C74" w14:textId="53DF4A5F" w:rsidR="0064337E" w:rsidRPr="003252DA" w:rsidRDefault="00EE48E2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County borough wide for Blaenau Gwent County Borough Council, Gwent Office of the Police and Crime Commissioner, Newport City Council, Monmouthshire County Council and Torfaen County Borough Council.</w:t>
            </w:r>
          </w:p>
        </w:tc>
      </w:tr>
      <w:tr w:rsidR="006850F7" w:rsidRPr="003252DA" w14:paraId="110E53E7" w14:textId="77777777" w:rsidTr="00E36D37">
        <w:tc>
          <w:tcPr>
            <w:tcW w:w="365" w:type="pct"/>
          </w:tcPr>
          <w:p w14:paraId="4A8DEC0F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5" w:type="pct"/>
          </w:tcPr>
          <w:p w14:paraId="41A5CF4B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1D84E898" w14:textId="77777777" w:rsidTr="00E36D37">
        <w:tc>
          <w:tcPr>
            <w:tcW w:w="365" w:type="pct"/>
          </w:tcPr>
          <w:p w14:paraId="6DB58EB8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635" w:type="pct"/>
          </w:tcPr>
          <w:p w14:paraId="693125D2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 of Report</w:t>
            </w:r>
          </w:p>
        </w:tc>
      </w:tr>
      <w:tr w:rsidR="00EE48E2" w:rsidRPr="003252DA" w14:paraId="737678A0" w14:textId="77777777" w:rsidTr="00E36D37">
        <w:tc>
          <w:tcPr>
            <w:tcW w:w="365" w:type="pct"/>
          </w:tcPr>
          <w:p w14:paraId="0EDBDA00" w14:textId="167EB97E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35" w:type="pct"/>
          </w:tcPr>
          <w:p w14:paraId="2346F01E" w14:textId="004EA957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To update on th</w:t>
            </w:r>
            <w:r>
              <w:rPr>
                <w:rFonts w:ascii="Arial" w:hAnsi="Arial" w:cs="Arial"/>
                <w:sz w:val="20"/>
                <w:szCs w:val="20"/>
              </w:rPr>
              <w:t>e progress of the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audit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2D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252DA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 xml:space="preserve">5, open actions and exceptions.  </w:t>
            </w:r>
          </w:p>
        </w:tc>
      </w:tr>
      <w:tr w:rsidR="00EE48E2" w:rsidRPr="003252DA" w14:paraId="0FE748BD" w14:textId="77777777" w:rsidTr="00E36D37">
        <w:tc>
          <w:tcPr>
            <w:tcW w:w="365" w:type="pct"/>
          </w:tcPr>
          <w:p w14:paraId="206F858F" w14:textId="77777777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5" w:type="pct"/>
          </w:tcPr>
          <w:p w14:paraId="7163775E" w14:textId="77777777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8E2" w:rsidRPr="003252DA" w14:paraId="0A62D729" w14:textId="77777777" w:rsidTr="00E36D37">
        <w:tc>
          <w:tcPr>
            <w:tcW w:w="365" w:type="pct"/>
          </w:tcPr>
          <w:p w14:paraId="2C8B2312" w14:textId="3AFEC6D6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25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35" w:type="pct"/>
          </w:tcPr>
          <w:p w14:paraId="70CD2DCC" w14:textId="0B78C0A0" w:rsidR="00EE48E2" w:rsidRPr="00DB0326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 audit action position</w:t>
            </w:r>
          </w:p>
        </w:tc>
      </w:tr>
      <w:tr w:rsidR="00EE48E2" w:rsidRPr="003252DA" w14:paraId="4592A8DD" w14:textId="77777777" w:rsidTr="00E36D37">
        <w:tc>
          <w:tcPr>
            <w:tcW w:w="365" w:type="pct"/>
          </w:tcPr>
          <w:p w14:paraId="6F24E092" w14:textId="2D14E72F" w:rsidR="00EE48E2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252DA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6832240A" w14:textId="53A911A8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pct"/>
          </w:tcPr>
          <w:p w14:paraId="6885D6D4" w14:textId="5E7BF3E4" w:rsidR="00643D96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513F" w:rsidRPr="003252DA">
              <w:rPr>
                <w:rFonts w:ascii="Arial" w:hAnsi="Arial" w:cs="Arial"/>
                <w:sz w:val="20"/>
                <w:szCs w:val="20"/>
              </w:rPr>
              <w:t>status</w:t>
            </w:r>
            <w:r w:rsidR="00F657A0">
              <w:rPr>
                <w:rFonts w:ascii="Arial" w:hAnsi="Arial" w:cs="Arial"/>
                <w:sz w:val="20"/>
                <w:szCs w:val="20"/>
              </w:rPr>
              <w:t xml:space="preserve"> of open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audit actions</w:t>
            </w:r>
            <w:r w:rsidR="005E3526">
              <w:rPr>
                <w:rFonts w:ascii="Arial" w:hAnsi="Arial" w:cs="Arial"/>
                <w:sz w:val="20"/>
                <w:szCs w:val="20"/>
              </w:rPr>
              <w:t xml:space="preserve"> for the SRS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is shown in the table below.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621BC3" w14:textId="77777777" w:rsidR="00643D96" w:rsidRDefault="00643D96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5" w:type="dxa"/>
              <w:tblCellMar>
                <w:top w:w="10" w:type="dxa"/>
                <w:left w:w="107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892"/>
              <w:gridCol w:w="1584"/>
              <w:gridCol w:w="1042"/>
              <w:gridCol w:w="898"/>
              <w:gridCol w:w="298"/>
              <w:gridCol w:w="321"/>
              <w:gridCol w:w="277"/>
              <w:gridCol w:w="1335"/>
              <w:gridCol w:w="1098"/>
              <w:gridCol w:w="765"/>
            </w:tblGrid>
            <w:tr w:rsidR="0038433E" w:rsidRPr="003252DA" w14:paraId="384BF460" w14:textId="77777777" w:rsidTr="00E36D37">
              <w:trPr>
                <w:trHeight w:val="536"/>
              </w:trPr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364F3" w14:textId="77777777" w:rsidR="0038433E" w:rsidRPr="003252DA" w:rsidRDefault="0038433E" w:rsidP="00643D96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Owner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F48682" w14:textId="77777777" w:rsidR="0038433E" w:rsidRPr="003252DA" w:rsidRDefault="0038433E" w:rsidP="00643D96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Audit Name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FE5B9" w14:textId="7FADC90A" w:rsidR="0038433E" w:rsidRDefault="001A7721" w:rsidP="00643D96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Issues identified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D906F7" w14:textId="4A1D3B11" w:rsidR="0038433E" w:rsidRPr="003252DA" w:rsidRDefault="0038433E" w:rsidP="00643D96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 Open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CEE1F" w14:textId="77777777" w:rsidR="0038433E" w:rsidRDefault="0038433E" w:rsidP="00643D96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80489" w14:textId="77777777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2DD8E" w14:textId="77777777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0A45B6" w14:textId="77777777" w:rsidR="0038433E" w:rsidRPr="003252DA" w:rsidRDefault="0038433E" w:rsidP="00643D96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Planned </w:t>
                  </w: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End Date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128A5" w14:textId="77777777" w:rsidR="0038433E" w:rsidRDefault="0038433E" w:rsidP="00643D96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Partner(s)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20E707" w14:textId="77777777" w:rsidR="0038433E" w:rsidRPr="003252DA" w:rsidRDefault="0038433E" w:rsidP="00643D96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Status</w:t>
                  </w:r>
                </w:p>
              </w:tc>
            </w:tr>
            <w:tr w:rsidR="0038433E" w:rsidRPr="003252DA" w14:paraId="1CA7C955" w14:textId="77777777" w:rsidTr="00E36D37">
              <w:trPr>
                <w:trHeight w:val="613"/>
              </w:trPr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AD207" w14:textId="14A8D025" w:rsidR="0038433E" w:rsidRDefault="0038433E" w:rsidP="00643D96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83780" w14:textId="5A169B22" w:rsidR="0038433E" w:rsidRPr="00C9755C" w:rsidRDefault="00900D0A" w:rsidP="00643D96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ITS</w:t>
                  </w:r>
                  <w:r w:rsidR="00451C4E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030762">
                    <w:rPr>
                      <w:rFonts w:ascii="Arial" w:hAnsi="Arial" w:cs="Arial"/>
                      <w:sz w:val="20"/>
                      <w:szCs w:val="20"/>
                    </w:rPr>
                    <w:t xml:space="preserve"> - 24008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16E41" w14:textId="4C538DF2" w:rsidR="0038433E" w:rsidRDefault="00022656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C604FD" w14:textId="1597A093" w:rsidR="0038433E" w:rsidRDefault="00022656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A2F6F" w14:textId="3571CCD0" w:rsidR="0038433E" w:rsidRDefault="00830C16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A80C6" w14:textId="2CAB5B0E" w:rsidR="0038433E" w:rsidRDefault="00A47B6A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EB28C3" w14:textId="4AF85F6E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878BFF" w14:textId="434582BA" w:rsidR="0038433E" w:rsidRDefault="00BF06CC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September</w:t>
                  </w:r>
                  <w:r w:rsidR="0038433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2025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2703A" w14:textId="12C6E157" w:rsidR="0038433E" w:rsidRDefault="0038433E" w:rsidP="00643D96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6862ED" w14:textId="77777777" w:rsidR="0038433E" w:rsidRDefault="0038433E" w:rsidP="00643D96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Open</w:t>
                  </w:r>
                </w:p>
              </w:tc>
            </w:tr>
          </w:tbl>
          <w:p w14:paraId="0E1BC498" w14:textId="77777777" w:rsidR="00643D96" w:rsidRDefault="00643D96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32C16C" w14:textId="273171FB" w:rsidR="00BF06CC" w:rsidRDefault="00354719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2 H</w:t>
            </w:r>
            <w:r w:rsidR="00194334">
              <w:rPr>
                <w:rFonts w:ascii="Arial" w:hAnsi="Arial" w:cs="Arial"/>
                <w:sz w:val="20"/>
                <w:szCs w:val="20"/>
              </w:rPr>
              <w:t>igh</w:t>
            </w:r>
            <w:r>
              <w:rPr>
                <w:rFonts w:ascii="Arial" w:hAnsi="Arial" w:cs="Arial"/>
                <w:sz w:val="20"/>
                <w:szCs w:val="20"/>
              </w:rPr>
              <w:t xml:space="preserve"> actions </w:t>
            </w:r>
            <w:r w:rsidR="00194334">
              <w:rPr>
                <w:rFonts w:ascii="Arial" w:hAnsi="Arial" w:cs="Arial"/>
                <w:sz w:val="20"/>
                <w:szCs w:val="20"/>
              </w:rPr>
              <w:t xml:space="preserve">are in relation to the testing of the DR and BC plans, </w:t>
            </w:r>
            <w:r w:rsidR="00B677AD">
              <w:rPr>
                <w:rFonts w:ascii="Arial" w:hAnsi="Arial" w:cs="Arial"/>
                <w:sz w:val="20"/>
                <w:szCs w:val="20"/>
              </w:rPr>
              <w:t xml:space="preserve">these were delayed due to staff issues, </w:t>
            </w:r>
            <w:r w:rsidR="002373C9">
              <w:rPr>
                <w:rFonts w:ascii="Arial" w:hAnsi="Arial" w:cs="Arial"/>
                <w:sz w:val="20"/>
                <w:szCs w:val="20"/>
              </w:rPr>
              <w:t>whilst tabletop exercises have continued to be carried out</w:t>
            </w:r>
            <w:r w:rsidR="008B5BEC">
              <w:rPr>
                <w:rFonts w:ascii="Arial" w:hAnsi="Arial" w:cs="Arial"/>
                <w:sz w:val="20"/>
                <w:szCs w:val="20"/>
              </w:rPr>
              <w:t xml:space="preserve"> the live exercises are </w:t>
            </w:r>
            <w:r w:rsidR="00B677AD">
              <w:rPr>
                <w:rFonts w:ascii="Arial" w:hAnsi="Arial" w:cs="Arial"/>
                <w:sz w:val="20"/>
                <w:szCs w:val="20"/>
              </w:rPr>
              <w:t>now scheduled</w:t>
            </w:r>
            <w:r w:rsidR="00AC6B59">
              <w:rPr>
                <w:rFonts w:ascii="Arial" w:hAnsi="Arial" w:cs="Arial"/>
                <w:sz w:val="20"/>
                <w:szCs w:val="20"/>
              </w:rPr>
              <w:t xml:space="preserve"> to be completed by the end of</w:t>
            </w:r>
            <w:r w:rsidR="00B67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656">
              <w:rPr>
                <w:rFonts w:ascii="Arial" w:hAnsi="Arial" w:cs="Arial"/>
                <w:sz w:val="20"/>
                <w:szCs w:val="20"/>
              </w:rPr>
              <w:t>June 202</w:t>
            </w:r>
            <w:r w:rsidR="00AC6B59">
              <w:rPr>
                <w:rFonts w:ascii="Arial" w:hAnsi="Arial" w:cs="Arial"/>
                <w:sz w:val="20"/>
                <w:szCs w:val="20"/>
              </w:rPr>
              <w:t>5</w:t>
            </w:r>
            <w:r w:rsidR="000226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9FECAC" w14:textId="77777777" w:rsidR="00BF06CC" w:rsidRDefault="00BF06CC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CD78BD" w14:textId="0FF5946E" w:rsidR="00643D96" w:rsidRPr="003252DA" w:rsidRDefault="00643D96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</w:t>
            </w:r>
            <w:r w:rsidR="00437E10">
              <w:rPr>
                <w:rFonts w:ascii="Arial" w:hAnsi="Arial" w:cs="Arial"/>
                <w:sz w:val="20"/>
                <w:szCs w:val="20"/>
              </w:rPr>
              <w:t xml:space="preserve"> actions are</w:t>
            </w:r>
            <w:r w:rsidR="001362A8">
              <w:rPr>
                <w:rFonts w:ascii="Arial" w:hAnsi="Arial" w:cs="Arial"/>
                <w:sz w:val="20"/>
                <w:szCs w:val="20"/>
              </w:rPr>
              <w:t xml:space="preserve"> allocated to Gwent Police.  </w:t>
            </w:r>
            <w:r w:rsidR="001C27ED" w:rsidRPr="003252DA">
              <w:rPr>
                <w:rFonts w:ascii="Arial" w:hAnsi="Arial" w:cs="Arial"/>
                <w:sz w:val="20"/>
                <w:szCs w:val="20"/>
              </w:rPr>
              <w:t>The status</w:t>
            </w:r>
            <w:r w:rsidR="001C27ED">
              <w:rPr>
                <w:rFonts w:ascii="Arial" w:hAnsi="Arial" w:cs="Arial"/>
                <w:sz w:val="20"/>
                <w:szCs w:val="20"/>
              </w:rPr>
              <w:t xml:space="preserve"> of open</w:t>
            </w:r>
            <w:r w:rsidR="001C27ED" w:rsidRPr="003252DA">
              <w:rPr>
                <w:rFonts w:ascii="Arial" w:hAnsi="Arial" w:cs="Arial"/>
                <w:sz w:val="20"/>
                <w:szCs w:val="20"/>
              </w:rPr>
              <w:t xml:space="preserve"> audit actions</w:t>
            </w:r>
            <w:r w:rsidR="001C27ED">
              <w:rPr>
                <w:rFonts w:ascii="Arial" w:hAnsi="Arial" w:cs="Arial"/>
                <w:sz w:val="20"/>
                <w:szCs w:val="20"/>
              </w:rPr>
              <w:t xml:space="preserve"> for Gwent Police</w:t>
            </w:r>
            <w:r w:rsidR="001C27ED" w:rsidRPr="003252DA">
              <w:rPr>
                <w:rFonts w:ascii="Arial" w:hAnsi="Arial" w:cs="Arial"/>
                <w:sz w:val="20"/>
                <w:szCs w:val="20"/>
              </w:rPr>
              <w:t xml:space="preserve"> is shown in the table below</w:t>
            </w:r>
            <w:r w:rsidR="00620FE7">
              <w:rPr>
                <w:rFonts w:ascii="Arial" w:hAnsi="Arial" w:cs="Arial"/>
                <w:sz w:val="20"/>
                <w:szCs w:val="20"/>
              </w:rPr>
              <w:t>.  The last update was provided</w:t>
            </w:r>
            <w:r w:rsidR="00AB0BB0">
              <w:rPr>
                <w:rFonts w:ascii="Arial" w:hAnsi="Arial" w:cs="Arial"/>
                <w:sz w:val="20"/>
                <w:szCs w:val="20"/>
              </w:rPr>
              <w:t xml:space="preserve"> by Matt Coe</w:t>
            </w:r>
            <w:r w:rsidR="005655C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0BB0">
              <w:rPr>
                <w:rFonts w:ascii="Arial" w:hAnsi="Arial" w:cs="Arial"/>
                <w:sz w:val="20"/>
                <w:szCs w:val="20"/>
              </w:rPr>
              <w:t xml:space="preserve">Gwent Police during F+G </w:t>
            </w:r>
            <w:r w:rsidR="00620FE7">
              <w:rPr>
                <w:rFonts w:ascii="Arial" w:hAnsi="Arial" w:cs="Arial"/>
                <w:sz w:val="20"/>
                <w:szCs w:val="20"/>
              </w:rPr>
              <w:t xml:space="preserve"> in March 2025.</w:t>
            </w:r>
          </w:p>
          <w:p w14:paraId="7B190D2C" w14:textId="77777777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5" w:type="dxa"/>
              <w:tblCellMar>
                <w:top w:w="10" w:type="dxa"/>
                <w:left w:w="107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1513"/>
              <w:gridCol w:w="1042"/>
              <w:gridCol w:w="845"/>
              <w:gridCol w:w="298"/>
              <w:gridCol w:w="321"/>
              <w:gridCol w:w="277"/>
              <w:gridCol w:w="1340"/>
              <w:gridCol w:w="1177"/>
              <w:gridCol w:w="765"/>
            </w:tblGrid>
            <w:tr w:rsidR="004E731D" w:rsidRPr="003252DA" w14:paraId="322DFC15" w14:textId="77777777" w:rsidTr="00E36D37">
              <w:trPr>
                <w:trHeight w:val="536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37CEA" w14:textId="5ECCEEC1" w:rsidR="004E731D" w:rsidRPr="003252DA" w:rsidRDefault="004E731D" w:rsidP="00CD62E1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Owner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1B432E" w14:textId="1DCEC21B" w:rsidR="004E731D" w:rsidRPr="003252DA" w:rsidRDefault="004E731D" w:rsidP="00CD62E1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Audit Name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3C3DB" w14:textId="3A4B687D" w:rsidR="004E731D" w:rsidRDefault="004E731D" w:rsidP="00CD62E1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Issues </w:t>
                  </w:r>
                  <w:r w:rsidR="00561D8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identified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ECE84B" w14:textId="13D2304D" w:rsidR="004E731D" w:rsidRPr="003252DA" w:rsidRDefault="004E731D" w:rsidP="00CD62E1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 Open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986202" w14:textId="77777777" w:rsidR="004E731D" w:rsidRDefault="004E731D" w:rsidP="00CD62E1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4BB9F" w14:textId="77777777" w:rsidR="004E731D" w:rsidRDefault="004E731D" w:rsidP="00CD62E1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CE94E3" w14:textId="77777777" w:rsidR="004E731D" w:rsidRDefault="004E731D" w:rsidP="00CD62E1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27EF0" w14:textId="1FF94C52" w:rsidR="004E731D" w:rsidRPr="003252DA" w:rsidRDefault="004E731D" w:rsidP="00CD62E1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Planned </w:t>
                  </w: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End Date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855BA" w14:textId="77777777" w:rsidR="004E731D" w:rsidRDefault="004E731D" w:rsidP="00CD62E1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Partner(s)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8D777E" w14:textId="77777777" w:rsidR="004E731D" w:rsidRPr="003252DA" w:rsidRDefault="004E731D" w:rsidP="00CD62E1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Status</w:t>
                  </w:r>
                </w:p>
              </w:tc>
            </w:tr>
            <w:tr w:rsidR="004E731D" w:rsidRPr="003252DA" w14:paraId="6870F0AE" w14:textId="77777777" w:rsidTr="00E36D37">
              <w:trPr>
                <w:trHeight w:val="613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25289" w14:textId="76F03CA0" w:rsidR="004E731D" w:rsidRDefault="004E731D" w:rsidP="00EE48E2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Gwent Police Estates and Facilities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2C8D45" w14:textId="2BE7EBEB" w:rsidR="004E731D" w:rsidRPr="00C9755C" w:rsidRDefault="004E731D" w:rsidP="00EE48E2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55C">
                    <w:rPr>
                      <w:rFonts w:ascii="Arial" w:hAnsi="Arial" w:cs="Arial"/>
                      <w:sz w:val="20"/>
                      <w:szCs w:val="20"/>
                    </w:rPr>
                    <w:t>Gwent Police Audit – Data Hall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2F610" w14:textId="79F45215" w:rsidR="004E731D" w:rsidRDefault="00561D8E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34492A" w14:textId="717C2EF9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79378" w14:textId="77777777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139CF" w14:textId="77777777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3A486" w14:textId="77777777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B78DA" w14:textId="77777777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November 2024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9DC67" w14:textId="77777777" w:rsidR="004E731D" w:rsidRDefault="004E731D" w:rsidP="00EE48E2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Gwent Police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9460B" w14:textId="4170C1FC" w:rsidR="004E731D" w:rsidRDefault="004E731D" w:rsidP="00EE48E2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Open</w:t>
                  </w:r>
                </w:p>
              </w:tc>
            </w:tr>
          </w:tbl>
          <w:p w14:paraId="55D0C7ED" w14:textId="43C73E9C" w:rsidR="00EE48E2" w:rsidRPr="00230496" w:rsidRDefault="00EE48E2" w:rsidP="00EE48E2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8E2" w:rsidRPr="003252DA" w14:paraId="2F780B06" w14:textId="77777777" w:rsidTr="00E36D37">
        <w:tc>
          <w:tcPr>
            <w:tcW w:w="365" w:type="pct"/>
          </w:tcPr>
          <w:p w14:paraId="698A65C6" w14:textId="499D5C80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pct"/>
          </w:tcPr>
          <w:p w14:paraId="7D6F3CAF" w14:textId="77777777" w:rsidR="00EE48E2" w:rsidRPr="00FE26DD" w:rsidRDefault="00EE48E2" w:rsidP="00EE48E2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EE48E2" w:rsidRPr="003252DA" w14:paraId="6EFAEF51" w14:textId="77777777" w:rsidTr="00E36D37">
        <w:tc>
          <w:tcPr>
            <w:tcW w:w="365" w:type="pct"/>
          </w:tcPr>
          <w:p w14:paraId="496C076E" w14:textId="5F6C28BF" w:rsidR="00EE48E2" w:rsidRPr="00DB0326" w:rsidRDefault="00EE48E2" w:rsidP="00EE48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F10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35" w:type="pct"/>
          </w:tcPr>
          <w:p w14:paraId="5065DDCD" w14:textId="6F8104A1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Audit plan changes</w:t>
            </w:r>
          </w:p>
        </w:tc>
      </w:tr>
      <w:tr w:rsidR="00EE48E2" w:rsidRPr="003252DA" w14:paraId="16D0E0A7" w14:textId="77777777" w:rsidTr="00E36D37">
        <w:tc>
          <w:tcPr>
            <w:tcW w:w="365" w:type="pct"/>
          </w:tcPr>
          <w:p w14:paraId="4343CBC5" w14:textId="76A4CB79" w:rsidR="00EE48E2" w:rsidRPr="002F10F8" w:rsidRDefault="00EE48E2" w:rsidP="00EE48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635" w:type="pct"/>
          </w:tcPr>
          <w:p w14:paraId="1AED25D3" w14:textId="113B945B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reported currently.</w:t>
            </w:r>
          </w:p>
        </w:tc>
      </w:tr>
      <w:tr w:rsidR="00EE48E2" w:rsidRPr="003252DA" w14:paraId="23A8606D" w14:textId="77777777" w:rsidTr="00E36D37">
        <w:tc>
          <w:tcPr>
            <w:tcW w:w="365" w:type="pct"/>
          </w:tcPr>
          <w:p w14:paraId="4369B34F" w14:textId="77777777" w:rsidR="00EE48E2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pct"/>
          </w:tcPr>
          <w:p w14:paraId="4910C6D3" w14:textId="77777777" w:rsidR="00EE48E2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8E2" w:rsidRPr="003252DA" w14:paraId="3862C432" w14:textId="77777777" w:rsidTr="00E36D37">
        <w:tc>
          <w:tcPr>
            <w:tcW w:w="365" w:type="pct"/>
          </w:tcPr>
          <w:p w14:paraId="77A9619B" w14:textId="306DDDD7" w:rsidR="00EE48E2" w:rsidRPr="00396681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966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35" w:type="pct"/>
          </w:tcPr>
          <w:p w14:paraId="38127D6E" w14:textId="64F19C64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 Year – 2024-25</w:t>
            </w:r>
          </w:p>
        </w:tc>
      </w:tr>
      <w:tr w:rsidR="00EE48E2" w:rsidRPr="003252DA" w14:paraId="69079C70" w14:textId="77777777" w:rsidTr="00E36D37">
        <w:tc>
          <w:tcPr>
            <w:tcW w:w="365" w:type="pct"/>
          </w:tcPr>
          <w:p w14:paraId="70366756" w14:textId="2F3A1655" w:rsidR="00EE48E2" w:rsidRPr="00396681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635" w:type="pct"/>
          </w:tcPr>
          <w:p w14:paraId="4F2F50CE" w14:textId="294ABE8D" w:rsidR="00EE48E2" w:rsidRPr="0005200F" w:rsidRDefault="00EE48E2" w:rsidP="00EE48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200F">
              <w:rPr>
                <w:rFonts w:ascii="Arial" w:hAnsi="Arial" w:cs="Arial"/>
                <w:bCs/>
                <w:sz w:val="20"/>
                <w:szCs w:val="20"/>
              </w:rPr>
              <w:t>The 24/25 audit plan</w:t>
            </w:r>
            <w:r w:rsidR="00A01966">
              <w:rPr>
                <w:rFonts w:ascii="Arial" w:hAnsi="Arial" w:cs="Arial"/>
                <w:bCs/>
                <w:sz w:val="20"/>
                <w:szCs w:val="20"/>
              </w:rPr>
              <w:t xml:space="preserve"> progress</w:t>
            </w:r>
            <w:r w:rsidRPr="0005200F">
              <w:rPr>
                <w:rFonts w:ascii="Arial" w:hAnsi="Arial" w:cs="Arial"/>
                <w:bCs/>
                <w:sz w:val="20"/>
                <w:szCs w:val="20"/>
              </w:rPr>
              <w:t xml:space="preserve"> is shown in the table below.</w:t>
            </w:r>
          </w:p>
          <w:p w14:paraId="0DD534C3" w14:textId="77777777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515" w:type="dxa"/>
              <w:tblLook w:val="04A0" w:firstRow="1" w:lastRow="0" w:firstColumn="1" w:lastColumn="0" w:noHBand="0" w:noVBand="1"/>
            </w:tblPr>
            <w:tblGrid>
              <w:gridCol w:w="4169"/>
              <w:gridCol w:w="1564"/>
              <w:gridCol w:w="1134"/>
              <w:gridCol w:w="1648"/>
            </w:tblGrid>
            <w:tr w:rsidR="00EE48E2" w:rsidRPr="003252DA" w14:paraId="1993B077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2A32C683" w14:textId="77777777" w:rsidR="00EE48E2" w:rsidRPr="0077194C" w:rsidRDefault="00EE48E2" w:rsidP="00EE48E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Audits 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78F65FC3" w14:textId="77777777" w:rsidR="00EE48E2" w:rsidRPr="0077194C" w:rsidRDefault="00EE48E2" w:rsidP="00EE48E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Type of audit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1EC4A351" w14:textId="244B0AFA" w:rsidR="00EE48E2" w:rsidRPr="0077194C" w:rsidRDefault="00EE48E2" w:rsidP="00EE48E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Planned Quarter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78BA2E6B" w14:textId="77777777" w:rsidR="00EE48E2" w:rsidRPr="0077194C" w:rsidRDefault="00EE48E2" w:rsidP="00EE48E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Update</w:t>
                  </w:r>
                </w:p>
              </w:tc>
            </w:tr>
            <w:tr w:rsidR="00EE48E2" w:rsidRPr="003252DA" w14:paraId="177DB6B6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586CB" w14:textId="104BC85C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Active Directory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0F11C" w14:textId="41FBC321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DEB76F" w14:textId="487A4210" w:rsidR="00EE48E2" w:rsidRPr="0077194C" w:rsidRDefault="007456E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FE555" w14:textId="1E742B21" w:rsidR="00EE48E2" w:rsidRPr="0077194C" w:rsidRDefault="007456E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3FDE8675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72CDF" w14:textId="46523741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Application Integration Service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E14F29" w14:textId="18912E38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6C42A" w14:textId="3E16F1BF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06B3B" w14:textId="7A8AF637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399AB111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9100B" w14:textId="5B1E9D8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Business Management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495228" w14:textId="7F75DDDD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1B267" w14:textId="41F17A1C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60C82" w14:textId="39185E1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646EC7A2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87AAD8" w14:textId="20B1275F" w:rsidR="00EE48E2" w:rsidRPr="0077194C" w:rsidRDefault="00FA5FE0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Gwent Police</w:t>
                  </w:r>
                  <w:r w:rsidR="00E052F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Audit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- </w:t>
                  </w:r>
                  <w:r w:rsidR="00EE48E2"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Data Cen</w:t>
                  </w:r>
                  <w:r w:rsidR="00E456B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tre 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22039" w14:textId="3605AC46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8AF903" w14:textId="35D80FE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9473" w14:textId="430F9470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Moderate assurance</w:t>
                  </w:r>
                </w:p>
              </w:tc>
            </w:tr>
            <w:tr w:rsidR="00EE48E2" w:rsidRPr="003252DA" w14:paraId="6750BABB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ED731D" w14:textId="657E3678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lastRenderedPageBreak/>
                    <w:t>HALO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– Service Management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5CA2C" w14:textId="34A7E419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09BB06" w14:textId="5DA10E3A" w:rsidR="00EE48E2" w:rsidRPr="0077194C" w:rsidRDefault="007456E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8A221" w14:textId="3B901F35" w:rsidR="00EE48E2" w:rsidRPr="0077194C" w:rsidRDefault="007456E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3EB1B260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43E291" w14:textId="411DFD58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Information Security Management System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579C15" w14:textId="4EAC460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BAF70" w14:textId="24670607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6456A" w14:textId="516CFBAD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Full </w:t>
                  </w:r>
                  <w:r w:rsidR="007456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ssurance</w:t>
                  </w:r>
                </w:p>
              </w:tc>
            </w:tr>
            <w:tr w:rsidR="00EE48E2" w:rsidRPr="003252DA" w14:paraId="62CFA957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358151" w14:textId="0EB30E04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IT Disposals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AEB4BA" w14:textId="120B265D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8152B" w14:textId="2DCCA580" w:rsidR="00EE48E2" w:rsidRPr="0077194C" w:rsidRDefault="00411876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E50C" w14:textId="1273AF0D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Substantial assurance</w:t>
                  </w:r>
                </w:p>
              </w:tc>
            </w:tr>
            <w:tr w:rsidR="00EE48E2" w:rsidRPr="003252DA" w14:paraId="1D01B07B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A06059" w14:textId="062D688D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IT Service Continuity Management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9D05D5" w14:textId="7597B4A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F58B82" w14:textId="4EC4C68B" w:rsidR="00EE48E2" w:rsidRPr="0077194C" w:rsidRDefault="004037B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5A682" w14:textId="2C4B66FC" w:rsidR="00EE48E2" w:rsidRPr="0077194C" w:rsidRDefault="004037B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Substantial</w:t>
                  </w:r>
                </w:p>
              </w:tc>
            </w:tr>
            <w:tr w:rsidR="00EE48E2" w:rsidRPr="003252DA" w14:paraId="31B20FDE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DC1DB2" w14:textId="1710AC70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Mobile Computing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6C2CA6" w14:textId="57FADC16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9C73B" w14:textId="7FC8A210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CDDB4" w14:textId="0C5363D6" w:rsidR="00EE48E2" w:rsidRPr="0077194C" w:rsidRDefault="00857454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2D2F2BEF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178A72" w14:textId="75B3F58A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Software Asset Management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7063C" w14:textId="4DDA1B6C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272F4B" w14:textId="444EECEA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E480E" w14:textId="006775B3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7681422D" w14:textId="77777777" w:rsidTr="00E36D37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B54A6B" w14:textId="5EE8BB2A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Solarwinds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– Network service management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48F24" w14:textId="34E3E6C4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40842" w14:textId="03D0358A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9DF2" w14:textId="6469923A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</w:tbl>
          <w:p w14:paraId="72274ED1" w14:textId="77777777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8E2" w:rsidRPr="003252DA" w14:paraId="48A8E985" w14:textId="77777777" w:rsidTr="00E36D37">
        <w:tc>
          <w:tcPr>
            <w:tcW w:w="365" w:type="pct"/>
          </w:tcPr>
          <w:p w14:paraId="69A5D680" w14:textId="59172669" w:rsidR="00EE48E2" w:rsidRPr="00396681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pct"/>
          </w:tcPr>
          <w:p w14:paraId="633BE5A7" w14:textId="77777777" w:rsidR="004A0AE5" w:rsidRDefault="004A0AE5" w:rsidP="008115B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  <w:p w14:paraId="383D06CF" w14:textId="176044CB" w:rsidR="008115B3" w:rsidRPr="00DC2C95" w:rsidRDefault="008115B3" w:rsidP="008115B3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6C68E3">
              <w:rPr>
                <w:rFonts w:ascii="Arial" w:hAnsi="Arial" w:cs="Arial"/>
                <w:sz w:val="20"/>
                <w:szCs w:val="20"/>
              </w:rPr>
              <w:t>There was f</w:t>
            </w:r>
            <w:r w:rsidRPr="00DC2C95">
              <w:rPr>
                <w:rFonts w:ascii="Arial" w:hAnsi="Arial" w:cs="Arial"/>
                <w:sz w:val="20"/>
                <w:szCs w:val="20"/>
              </w:rPr>
              <w:t xml:space="preserve">ull </w:t>
            </w:r>
            <w:r w:rsidRPr="006C68E3">
              <w:rPr>
                <w:rFonts w:ascii="Arial" w:hAnsi="Arial" w:cs="Arial"/>
                <w:sz w:val="20"/>
                <w:szCs w:val="20"/>
              </w:rPr>
              <w:t>c</w:t>
            </w:r>
            <w:r w:rsidRPr="00DC2C95">
              <w:rPr>
                <w:rFonts w:ascii="Arial" w:hAnsi="Arial" w:cs="Arial"/>
                <w:sz w:val="20"/>
                <w:szCs w:val="20"/>
              </w:rPr>
              <w:t>ompletion of the Audit Plan</w:t>
            </w:r>
            <w:r w:rsidRPr="006C68E3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Pr="00DC2C95">
              <w:rPr>
                <w:rFonts w:ascii="Arial" w:hAnsi="Arial" w:cs="Arial"/>
                <w:sz w:val="20"/>
                <w:szCs w:val="20"/>
              </w:rPr>
              <w:t xml:space="preserve"> no planned assurance work deferred</w:t>
            </w:r>
            <w:r w:rsidRPr="006C68E3">
              <w:rPr>
                <w:rFonts w:ascii="Arial" w:hAnsi="Arial" w:cs="Arial"/>
                <w:sz w:val="20"/>
                <w:szCs w:val="20"/>
              </w:rPr>
              <w:t>.  Partners</w:t>
            </w:r>
            <w:r w:rsidRPr="00DC2C95">
              <w:rPr>
                <w:rFonts w:ascii="Arial" w:hAnsi="Arial" w:cs="Arial"/>
                <w:sz w:val="20"/>
                <w:szCs w:val="20"/>
              </w:rPr>
              <w:t xml:space="preserve"> have a complete picture of SRS’s control environment with no gaps. </w:t>
            </w:r>
          </w:p>
          <w:p w14:paraId="0A97FA80" w14:textId="77777777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8FE78" w14:textId="12E1AFED" w:rsidR="005655C6" w:rsidRDefault="005655C6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 Year –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-2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24BDAC05" w14:textId="77777777" w:rsidR="005655C6" w:rsidRDefault="005655C6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0DDC8" w14:textId="77777777" w:rsidR="005655C6" w:rsidRDefault="005655C6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4DEEB" w14:textId="6928CA62" w:rsidR="00C77ED9" w:rsidRDefault="001C574F" w:rsidP="00C77ED9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DC2C95">
              <w:rPr>
                <w:rFonts w:ascii="Arial" w:hAnsi="Arial" w:cs="Arial"/>
                <w:b/>
                <w:bCs/>
                <w:sz w:val="20"/>
                <w:szCs w:val="20"/>
              </w:rPr>
              <w:t>2025/26 Internal Audit Plan (as agreed) include:</w:t>
            </w:r>
            <w:r w:rsidRPr="00DC2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PlainTable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98"/>
              <w:gridCol w:w="3829"/>
              <w:gridCol w:w="635"/>
              <w:gridCol w:w="1160"/>
              <w:gridCol w:w="1441"/>
            </w:tblGrid>
            <w:tr w:rsidR="0081583C" w:rsidRPr="00DC061F" w14:paraId="03EEB4A9" w14:textId="0BAD3D4D" w:rsidTr="00E36D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C175B2D" w14:textId="663BE306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auto"/>
                      <w:lang w:val="en-GB" w:eastAsia="en-GB"/>
                    </w:rPr>
                    <w:t>Audit Type</w:t>
                  </w:r>
                </w:p>
              </w:tc>
              <w:tc>
                <w:tcPr>
                  <w:tcW w:w="0" w:type="auto"/>
                  <w:hideMark/>
                </w:tcPr>
                <w:p w14:paraId="2711C755" w14:textId="4A79E3BC" w:rsidR="0081583C" w:rsidRPr="00DC061F" w:rsidRDefault="0081583C" w:rsidP="00C77ED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auto"/>
                      <w:lang w:val="en-GB" w:eastAsia="en-GB"/>
                    </w:rPr>
                    <w:t>Audit</w:t>
                  </w:r>
                </w:p>
              </w:tc>
              <w:tc>
                <w:tcPr>
                  <w:tcW w:w="0" w:type="auto"/>
                  <w:hideMark/>
                </w:tcPr>
                <w:p w14:paraId="7018D6A0" w14:textId="77777777" w:rsidR="0081583C" w:rsidRPr="00DC061F" w:rsidRDefault="0081583C" w:rsidP="00C77ED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auto"/>
                      <w:lang w:val="en-GB" w:eastAsia="en-GB"/>
                    </w:rPr>
                  </w:pPr>
                  <w:r w:rsidRPr="00DC061F">
                    <w:rPr>
                      <w:rFonts w:ascii="Calibri" w:eastAsiaTheme="majorEastAsia" w:hAnsi="Calibri" w:cs="Calibri"/>
                      <w:color w:val="auto"/>
                      <w:lang w:val="en-GB" w:eastAsia="en-GB"/>
                    </w:rPr>
                    <w:t>QTR</w:t>
                  </w:r>
                </w:p>
              </w:tc>
              <w:tc>
                <w:tcPr>
                  <w:tcW w:w="0" w:type="auto"/>
                </w:tcPr>
                <w:p w14:paraId="0CA8243D" w14:textId="4F67C91B" w:rsidR="0081583C" w:rsidRPr="00DC061F" w:rsidRDefault="00616A70" w:rsidP="00C77ED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lang w:val="en-GB" w:eastAsia="en-GB"/>
                    </w:rPr>
                    <w:t>Status</w:t>
                  </w:r>
                </w:p>
              </w:tc>
              <w:tc>
                <w:tcPr>
                  <w:tcW w:w="0" w:type="auto"/>
                </w:tcPr>
                <w:p w14:paraId="1015780F" w14:textId="348EC2D1" w:rsidR="0081583C" w:rsidRPr="00DC061F" w:rsidRDefault="00013C79" w:rsidP="00C77ED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lang w:val="en-GB" w:eastAsia="en-GB"/>
                    </w:rPr>
                    <w:t>Update</w:t>
                  </w:r>
                </w:p>
              </w:tc>
            </w:tr>
            <w:tr w:rsidR="0081583C" w:rsidRPr="00DC061F" w14:paraId="38B7BE58" w14:textId="3A78B37F" w:rsidTr="00E36D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</w:tcPr>
                <w:p w14:paraId="779566AC" w14:textId="34AB6C30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FULL</w:t>
                  </w:r>
                </w:p>
              </w:tc>
              <w:tc>
                <w:tcPr>
                  <w:tcW w:w="0" w:type="auto"/>
                  <w:vAlign w:val="center"/>
                </w:tcPr>
                <w:p w14:paraId="3990C5ED" w14:textId="77777777" w:rsidR="0081583C" w:rsidRPr="00DC061F" w:rsidRDefault="0081583C" w:rsidP="00C77E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Change Management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14:paraId="0205EF3E" w14:textId="77777777" w:rsidR="0081583C" w:rsidRPr="00DC061F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453FA5AC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</w:tcPr>
                <w:p w14:paraId="438AEB4C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4F7F511F" w14:textId="5232CEC5" w:rsidTr="00E36D37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</w:tcPr>
                <w:p w14:paraId="7C0DFEDF" w14:textId="690918DD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FULL</w:t>
                  </w:r>
                </w:p>
              </w:tc>
              <w:tc>
                <w:tcPr>
                  <w:tcW w:w="0" w:type="auto"/>
                  <w:vAlign w:val="center"/>
                </w:tcPr>
                <w:p w14:paraId="3FF7BE1A" w14:textId="77777777" w:rsidR="0081583C" w:rsidRPr="00DC061F" w:rsidRDefault="0081583C" w:rsidP="00C77E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Cybersecurity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14:paraId="1E44C67C" w14:textId="77777777" w:rsidR="0081583C" w:rsidRPr="00DC061F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5A71C9DA" w14:textId="77777777" w:rsidR="0081583C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</w:tcPr>
                <w:p w14:paraId="02332D51" w14:textId="77777777" w:rsidR="0081583C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0AEA6418" w14:textId="636CC7BA" w:rsidTr="00E36D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257F670" w14:textId="070A8B49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62145" w14:textId="77777777" w:rsidR="0081583C" w:rsidRPr="00DC061F" w:rsidRDefault="0081583C" w:rsidP="00C77E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Firewall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1873434" w14:textId="77777777" w:rsidR="0081583C" w:rsidRPr="00DC061F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EE11638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</w:tcPr>
                <w:p w14:paraId="5F37266D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3A75C8ED" w14:textId="159395B6" w:rsidTr="00E36D37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D0E9ED8" w14:textId="58BBD29B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0B22B" w14:textId="77777777" w:rsidR="0081583C" w:rsidRPr="00DC061F" w:rsidRDefault="0081583C" w:rsidP="00C77E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Identity and Access Management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0EFCC19" w14:textId="77777777" w:rsidR="0081583C" w:rsidRPr="00DC061F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42D5AD7" w14:textId="139C1A6F" w:rsidR="0081583C" w:rsidRDefault="009B32F8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In Progress</w:t>
                  </w:r>
                </w:p>
              </w:tc>
              <w:tc>
                <w:tcPr>
                  <w:tcW w:w="0" w:type="auto"/>
                </w:tcPr>
                <w:p w14:paraId="59E318F1" w14:textId="77777777" w:rsidR="0081583C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5A11374C" w14:textId="471C9C2F" w:rsidTr="00E36D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3AA1106" w14:textId="77777777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C06B8" w14:textId="77777777" w:rsidR="0081583C" w:rsidRPr="00DC061F" w:rsidRDefault="0081583C" w:rsidP="00C77E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Information Security Management System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B7A9E21" w14:textId="77777777" w:rsidR="0081583C" w:rsidRPr="00DC061F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5C6B46A" w14:textId="3F8449C5" w:rsidR="0081583C" w:rsidRDefault="009B32F8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Complete</w:t>
                  </w:r>
                </w:p>
              </w:tc>
              <w:tc>
                <w:tcPr>
                  <w:tcW w:w="0" w:type="auto"/>
                </w:tcPr>
                <w:p w14:paraId="2FA08A8C" w14:textId="75ED3889" w:rsidR="0081583C" w:rsidRDefault="00AF21A2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Full Assurance</w:t>
                  </w:r>
                </w:p>
              </w:tc>
            </w:tr>
            <w:tr w:rsidR="0081583C" w:rsidRPr="00DC061F" w14:paraId="7BC7B2B6" w14:textId="060E3EF0" w:rsidTr="00E36D37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1833A3F" w14:textId="77777777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E6259" w14:textId="77777777" w:rsidR="0081583C" w:rsidRPr="00DC061F" w:rsidRDefault="0081583C" w:rsidP="00C77E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IT Disposals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9EFB38A" w14:textId="77777777" w:rsidR="0081583C" w:rsidRPr="00DC061F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5002E56" w14:textId="77777777" w:rsidR="0081583C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</w:tcPr>
                <w:p w14:paraId="6B91415F" w14:textId="77777777" w:rsidR="0081583C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6C2E6A56" w14:textId="51A2BC02" w:rsidTr="00E36D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71FF185" w14:textId="77777777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14977" w14:textId="77777777" w:rsidR="0081583C" w:rsidRPr="00DC061F" w:rsidRDefault="0081583C" w:rsidP="00C77E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IT Service Continuity Management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DEC4560" w14:textId="77777777" w:rsidR="0081583C" w:rsidRPr="00DC061F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A14DBB1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</w:tcPr>
                <w:p w14:paraId="6B1374A9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235A7B27" w14:textId="34F145DA" w:rsidTr="00E36D37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BB245D3" w14:textId="77777777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D8EBD" w14:textId="77777777" w:rsidR="0081583C" w:rsidRPr="00DC061F" w:rsidRDefault="0081583C" w:rsidP="00C77E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Mobile Computing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BC9AF65" w14:textId="77777777" w:rsidR="0081583C" w:rsidRPr="00DC061F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DCB4AD8" w14:textId="61DB623C" w:rsidR="0081583C" w:rsidRDefault="009B32F8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In</w:t>
                  </w:r>
                  <w:r w:rsidR="00AF21A2"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 xml:space="preserve"> Progress</w:t>
                  </w:r>
                </w:p>
              </w:tc>
              <w:tc>
                <w:tcPr>
                  <w:tcW w:w="0" w:type="auto"/>
                </w:tcPr>
                <w:p w14:paraId="27119031" w14:textId="77777777" w:rsidR="0081583C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571E605C" w14:textId="6AE6C1F5" w:rsidTr="00E36D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1334941" w14:textId="5AEA2022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E2466" w14:textId="77777777" w:rsidR="0081583C" w:rsidRPr="00DC061F" w:rsidRDefault="0081583C" w:rsidP="00C77E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O365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317121A" w14:textId="77777777" w:rsidR="0081583C" w:rsidRPr="00DC061F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33AB5037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</w:tcPr>
                <w:p w14:paraId="31ABCC44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11F9F027" w14:textId="50D88F93" w:rsidTr="00E36D37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3639F6F" w14:textId="5C5C4301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84262" w14:textId="77777777" w:rsidR="0081583C" w:rsidRPr="00DC061F" w:rsidRDefault="0081583C" w:rsidP="00C77E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Virtualisation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479A5E" w14:textId="77777777" w:rsidR="0081583C" w:rsidRPr="00DC061F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90E05A7" w14:textId="77777777" w:rsidR="0081583C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</w:tcPr>
                <w:p w14:paraId="1F08E21B" w14:textId="77777777" w:rsidR="0081583C" w:rsidRDefault="0081583C" w:rsidP="00C77E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  <w:tr w:rsidR="0081583C" w:rsidRPr="00DC061F" w14:paraId="579A8725" w14:textId="1069C653" w:rsidTr="00E36D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77A83DD" w14:textId="77777777" w:rsidR="0081583C" w:rsidRPr="00DC061F" w:rsidRDefault="0081583C" w:rsidP="00C77ED9">
                  <w:pPr>
                    <w:jc w:val="center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FUP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199FD" w14:textId="77777777" w:rsidR="0081583C" w:rsidRPr="00DC061F" w:rsidRDefault="0081583C" w:rsidP="00C77E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Data Centre – GPA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E1D5D8B" w14:textId="77777777" w:rsidR="0081583C" w:rsidRPr="00DC061F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F035099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</w:tcPr>
                <w:p w14:paraId="44EA2AA7" w14:textId="77777777" w:rsidR="0081583C" w:rsidRDefault="0081583C" w:rsidP="00C77ED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Theme="majorEastAsia" w:hAnsi="Calibri" w:cs="Calibri"/>
                      <w:color w:val="000000"/>
                      <w:sz w:val="21"/>
                      <w:szCs w:val="21"/>
                      <w:lang w:val="en-GB" w:eastAsia="en-GB"/>
                    </w:rPr>
                  </w:pPr>
                </w:p>
              </w:tc>
            </w:tr>
          </w:tbl>
          <w:p w14:paraId="10FC03D9" w14:textId="77777777" w:rsidR="00C77ED9" w:rsidRPr="00DC2C95" w:rsidRDefault="00C77ED9" w:rsidP="00C77ED9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2EB48" w14:textId="0371AE49" w:rsidR="005655C6" w:rsidRDefault="005655C6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8E2" w:rsidRPr="003252DA" w14:paraId="0FAF736A" w14:textId="77777777" w:rsidTr="00E36D37">
        <w:tc>
          <w:tcPr>
            <w:tcW w:w="365" w:type="pct"/>
          </w:tcPr>
          <w:p w14:paraId="70F62935" w14:textId="1609D649" w:rsidR="00EE48E2" w:rsidRPr="00396681" w:rsidRDefault="00EE48E2" w:rsidP="00EE48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35" w:type="pct"/>
          </w:tcPr>
          <w:p w14:paraId="2E97C6B9" w14:textId="545607D6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Monitoring and Evaluation</w:t>
            </w:r>
          </w:p>
        </w:tc>
      </w:tr>
      <w:tr w:rsidR="00EE48E2" w:rsidRPr="003252DA" w14:paraId="3026FFF6" w14:textId="77777777" w:rsidTr="00E36D37">
        <w:tc>
          <w:tcPr>
            <w:tcW w:w="365" w:type="pct"/>
          </w:tcPr>
          <w:p w14:paraId="1B140CC2" w14:textId="338F18D2" w:rsidR="00EE48E2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635" w:type="pct"/>
          </w:tcPr>
          <w:p w14:paraId="3477D439" w14:textId="77777777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The audit process is monitored by the Deputy COO / Director of Operations.</w:t>
            </w:r>
          </w:p>
          <w:p w14:paraId="6B3A2193" w14:textId="77777777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6F112A0" w14:textId="77777777" w:rsidR="00173587" w:rsidRPr="003252DA" w:rsidRDefault="00173587" w:rsidP="00BF33DD">
      <w:pPr>
        <w:rPr>
          <w:rFonts w:ascii="Arial" w:hAnsi="Arial" w:cs="Arial"/>
          <w:sz w:val="20"/>
          <w:szCs w:val="20"/>
        </w:rPr>
      </w:pPr>
    </w:p>
    <w:sectPr w:rsidR="00173587" w:rsidRPr="003252DA" w:rsidSect="00CD4F12">
      <w:headerReference w:type="default" r:id="rId12"/>
      <w:footerReference w:type="default" r:id="rId13"/>
      <w:pgSz w:w="11900" w:h="16840"/>
      <w:pgMar w:top="1440" w:right="1440" w:bottom="1440" w:left="1440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084C" w14:textId="77777777" w:rsidR="00FF24F1" w:rsidRDefault="00FF24F1">
      <w:r>
        <w:separator/>
      </w:r>
    </w:p>
  </w:endnote>
  <w:endnote w:type="continuationSeparator" w:id="0">
    <w:p w14:paraId="6420E826" w14:textId="77777777" w:rsidR="00FF24F1" w:rsidRDefault="00FF24F1">
      <w:r>
        <w:continuationSeparator/>
      </w:r>
    </w:p>
  </w:endnote>
  <w:endnote w:type="continuationNotice" w:id="1">
    <w:p w14:paraId="32E44FA4" w14:textId="77777777" w:rsidR="00FF24F1" w:rsidRDefault="00FF2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0A17" w14:textId="77777777" w:rsidR="00E54046" w:rsidRDefault="00E54046"/>
  <w:p w14:paraId="6F100306" w14:textId="4F1AA68B" w:rsidR="00E54046" w:rsidRDefault="00AC6B59" w:rsidP="002F0F4D">
    <w:pPr>
      <w:tabs>
        <w:tab w:val="center" w:pos="4513"/>
        <w:tab w:val="right" w:pos="9026"/>
      </w:tabs>
      <w:rPr>
        <w:rFonts w:ascii="Calibri" w:hAnsi="Calibri"/>
        <w:noProof/>
        <w:sz w:val="22"/>
        <w:szCs w:val="22"/>
        <w:lang w:val="en-GB" w:eastAsia="en-GB"/>
      </w:rPr>
    </w:pPr>
    <w:r>
      <w:rPr>
        <w:noProof/>
      </w:rPr>
      <w:pict w14:anchorId="661858FC">
        <v:line id="_x0000_s1025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1pt,1pt" to="52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" strokecolor="#ec1ad3">
          <o:lock v:ext="edit" shapetype="f"/>
        </v:line>
      </w:pic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</w:t>
    </w:r>
  </w:p>
  <w:p w14:paraId="5450E1F5" w14:textId="77777777" w:rsidR="00E54046" w:rsidRPr="00474C2B" w:rsidRDefault="00E54046" w:rsidP="002F0F4D">
    <w:pPr>
      <w:tabs>
        <w:tab w:val="center" w:pos="4513"/>
        <w:tab w:val="right" w:pos="9020"/>
      </w:tabs>
      <w:jc w:val="right"/>
      <w:rPr>
        <w:rFonts w:ascii="Calibri" w:hAnsi="Calibri"/>
        <w:noProof/>
        <w:sz w:val="22"/>
        <w:szCs w:val="22"/>
        <w:lang w:val="en-GB" w:eastAsia="en-GB"/>
      </w:rPr>
    </w:pP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</w:t>
    </w:r>
    <w:r>
      <w:rPr>
        <w:rFonts w:ascii="Calibri" w:hAnsi="Calibri"/>
        <w:noProof/>
        <w:sz w:val="22"/>
        <w:szCs w:val="22"/>
        <w:lang w:val="en-GB" w:eastAsia="en-GB"/>
      </w:rPr>
      <w:tab/>
    </w:r>
    <w:r>
      <w:rPr>
        <w:rFonts w:ascii="Calibri" w:hAnsi="Calibri"/>
        <w:noProof/>
        <w:sz w:val="22"/>
        <w:szCs w:val="22"/>
        <w:lang w:val="en-GB" w:eastAsia="en-GB"/>
      </w:rPr>
      <w:tab/>
    </w:r>
  </w:p>
  <w:p w14:paraId="3DF959AF" w14:textId="77777777" w:rsidR="00E54046" w:rsidRDefault="00E54046">
    <w:pPr>
      <w:pStyle w:val="Body1"/>
      <w:tabs>
        <w:tab w:val="left" w:pos="0"/>
        <w:tab w:val="center" w:pos="4510"/>
        <w:tab w:val="center" w:pos="4513"/>
        <w:tab w:val="right" w:pos="9000"/>
        <w:tab w:val="right" w:pos="9020"/>
      </w:tabs>
      <w:rPr>
        <w:rFonts w:ascii="Times New Roman" w:eastAsia="Times New Roman" w:hAnsi="Times New Roman"/>
        <w:color w:val="auto"/>
        <w:sz w:val="20"/>
        <w:lang w:val="en-GB" w:bidi="x-none"/>
      </w:rPr>
    </w:pPr>
    <w:r>
      <w:rPr>
        <w:rFonts w:hAnsi="Arial Unicode MS"/>
      </w:rPr>
      <w:tab/>
    </w:r>
    <w:r>
      <w:rPr>
        <w:rFonts w:hAnsi="Arial Unicode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54FC" w14:textId="77777777" w:rsidR="00FF24F1" w:rsidRDefault="00FF24F1">
      <w:r>
        <w:separator/>
      </w:r>
    </w:p>
  </w:footnote>
  <w:footnote w:type="continuationSeparator" w:id="0">
    <w:p w14:paraId="602AA5BA" w14:textId="77777777" w:rsidR="00FF24F1" w:rsidRDefault="00FF24F1">
      <w:r>
        <w:continuationSeparator/>
      </w:r>
    </w:p>
  </w:footnote>
  <w:footnote w:type="continuationNotice" w:id="1">
    <w:p w14:paraId="1E791AFF" w14:textId="77777777" w:rsidR="00FF24F1" w:rsidRDefault="00FF2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E724" w14:textId="21861BE1" w:rsidR="00E54046" w:rsidRDefault="00AC6B59" w:rsidP="00900E35">
    <w:pPr>
      <w:pStyle w:val="Header"/>
      <w:jc w:val="center"/>
    </w:pPr>
    <w:r>
      <w:rPr>
        <w:noProof/>
      </w:rPr>
      <w:pict w14:anchorId="41993948">
        <v:line id="Straight Connector 1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4.6pt,93.8pt" to="521.7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" strokecolor="#ec1ad3">
          <o:lock v:ext="edit" shapetype="f"/>
        </v:line>
      </w:pict>
    </w:r>
  </w:p>
  <w:p w14:paraId="7D480859" w14:textId="6585DA2B" w:rsidR="00900E35" w:rsidRDefault="007B6759" w:rsidP="007B6759">
    <w:pPr>
      <w:pStyle w:val="Header"/>
    </w:pPr>
    <w:r w:rsidRPr="007B6759">
      <w:rPr>
        <w:noProof/>
      </w:rPr>
      <w:drawing>
        <wp:inline distT="0" distB="0" distL="0" distR="0" wp14:anchorId="4865A42A" wp14:editId="7E57AB28">
          <wp:extent cx="840279" cy="869352"/>
          <wp:effectExtent l="0" t="0" r="0" b="6985"/>
          <wp:docPr id="8" name="Picture 7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48253572-4F1A-B295-ADD0-E737353020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48253572-4F1A-B295-ADD0-E737353020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82" b="7870"/>
                  <a:stretch/>
                </pic:blipFill>
                <pic:spPr bwMode="auto">
                  <a:xfrm>
                    <a:off x="0" y="0"/>
                    <a:ext cx="840279" cy="86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A3CF90" wp14:editId="6085E95A">
          <wp:extent cx="4816170" cy="951986"/>
          <wp:effectExtent l="0" t="0" r="0" b="0"/>
          <wp:docPr id="10456178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233" cy="954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7527FB" w14:textId="45283330" w:rsidR="00900E35" w:rsidRDefault="00900E35" w:rsidP="007B6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323"/>
    <w:multiLevelType w:val="multilevel"/>
    <w:tmpl w:val="64CA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0F28"/>
    <w:multiLevelType w:val="multilevel"/>
    <w:tmpl w:val="84A885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965BF1"/>
    <w:multiLevelType w:val="hybridMultilevel"/>
    <w:tmpl w:val="3738D4BA"/>
    <w:lvl w:ilvl="0" w:tplc="9A96F1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1EBC"/>
    <w:multiLevelType w:val="hybridMultilevel"/>
    <w:tmpl w:val="88AE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4018"/>
    <w:multiLevelType w:val="hybridMultilevel"/>
    <w:tmpl w:val="83BA060E"/>
    <w:lvl w:ilvl="0" w:tplc="0B2AB0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819082B"/>
    <w:multiLevelType w:val="multilevel"/>
    <w:tmpl w:val="A48ADB42"/>
    <w:styleLink w:val="ListBullets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70BF"/>
    <w:multiLevelType w:val="multilevel"/>
    <w:tmpl w:val="200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520D7"/>
    <w:multiLevelType w:val="hybridMultilevel"/>
    <w:tmpl w:val="24D8BFF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E1492"/>
    <w:multiLevelType w:val="hybridMultilevel"/>
    <w:tmpl w:val="AE8EF864"/>
    <w:lvl w:ilvl="0" w:tplc="9A2AEA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B345C8"/>
    <w:multiLevelType w:val="hybridMultilevel"/>
    <w:tmpl w:val="7C26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796"/>
    <w:multiLevelType w:val="multilevel"/>
    <w:tmpl w:val="2EEA2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F37D1E"/>
    <w:multiLevelType w:val="hybridMultilevel"/>
    <w:tmpl w:val="0FA699BE"/>
    <w:lvl w:ilvl="0" w:tplc="D1F084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C520B"/>
    <w:multiLevelType w:val="multilevel"/>
    <w:tmpl w:val="4CF6D8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A30F31"/>
    <w:multiLevelType w:val="hybridMultilevel"/>
    <w:tmpl w:val="B64C1F18"/>
    <w:lvl w:ilvl="0" w:tplc="E43C7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4E6E"/>
    <w:multiLevelType w:val="hybridMultilevel"/>
    <w:tmpl w:val="245E8BB0"/>
    <w:lvl w:ilvl="0" w:tplc="45009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D6FDB"/>
    <w:multiLevelType w:val="multilevel"/>
    <w:tmpl w:val="686EAD58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pStyle w:val="AgtLevel3"/>
      <w:lvlText w:val="(%3)"/>
      <w:lvlJc w:val="left"/>
      <w:rPr>
        <w:rFonts w:ascii="Arial" w:hAnsi="Arial" w:cs="Arial" w:hint="default"/>
        <w:b w:val="0"/>
        <w:i w:val="0"/>
        <w:strike w:val="0"/>
        <w:color w:val="000000"/>
        <w:sz w:val="22"/>
        <w:szCs w:val="22"/>
        <w:em w:val="none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6" w15:restartNumberingAfterBreak="0">
    <w:nsid w:val="73FF61CA"/>
    <w:multiLevelType w:val="hybridMultilevel"/>
    <w:tmpl w:val="8C32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741CD"/>
    <w:multiLevelType w:val="hybridMultilevel"/>
    <w:tmpl w:val="BC802B80"/>
    <w:lvl w:ilvl="0" w:tplc="25908C74">
      <w:start w:val="1"/>
      <w:numFmt w:val="bullet"/>
      <w:pStyle w:val="Heading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1A5540"/>
    <w:multiLevelType w:val="hybridMultilevel"/>
    <w:tmpl w:val="B590FCE4"/>
    <w:lvl w:ilvl="0" w:tplc="4BDE0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2506">
    <w:abstractNumId w:val="5"/>
  </w:num>
  <w:num w:numId="2" w16cid:durableId="1558397498">
    <w:abstractNumId w:val="17"/>
  </w:num>
  <w:num w:numId="3" w16cid:durableId="861433472">
    <w:abstractNumId w:val="9"/>
  </w:num>
  <w:num w:numId="4" w16cid:durableId="359627369">
    <w:abstractNumId w:val="2"/>
  </w:num>
  <w:num w:numId="5" w16cid:durableId="1762334143">
    <w:abstractNumId w:val="15"/>
  </w:num>
  <w:num w:numId="6" w16cid:durableId="1240746447">
    <w:abstractNumId w:val="1"/>
  </w:num>
  <w:num w:numId="7" w16cid:durableId="1860268443">
    <w:abstractNumId w:val="12"/>
  </w:num>
  <w:num w:numId="8" w16cid:durableId="141967699">
    <w:abstractNumId w:val="8"/>
  </w:num>
  <w:num w:numId="9" w16cid:durableId="1528325808">
    <w:abstractNumId w:val="11"/>
  </w:num>
  <w:num w:numId="10" w16cid:durableId="811874146">
    <w:abstractNumId w:val="4"/>
  </w:num>
  <w:num w:numId="11" w16cid:durableId="709918429">
    <w:abstractNumId w:val="14"/>
  </w:num>
  <w:num w:numId="12" w16cid:durableId="1436053199">
    <w:abstractNumId w:val="18"/>
  </w:num>
  <w:num w:numId="13" w16cid:durableId="1895071273">
    <w:abstractNumId w:val="13"/>
  </w:num>
  <w:num w:numId="14" w16cid:durableId="342172603">
    <w:abstractNumId w:val="16"/>
  </w:num>
  <w:num w:numId="15" w16cid:durableId="21132506">
    <w:abstractNumId w:val="7"/>
  </w:num>
  <w:num w:numId="16" w16cid:durableId="1043092748">
    <w:abstractNumId w:val="10"/>
  </w:num>
  <w:num w:numId="17" w16cid:durableId="184221799">
    <w:abstractNumId w:val="3"/>
  </w:num>
  <w:num w:numId="18" w16cid:durableId="1885674496">
    <w:abstractNumId w:val="6"/>
  </w:num>
  <w:num w:numId="19" w16cid:durableId="17312698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050">
      <v:stroke weight="0" endcap="round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4DB"/>
    <w:rsid w:val="00002CBA"/>
    <w:rsid w:val="0000371E"/>
    <w:rsid w:val="00005803"/>
    <w:rsid w:val="00006C40"/>
    <w:rsid w:val="00007E89"/>
    <w:rsid w:val="000101C5"/>
    <w:rsid w:val="00013561"/>
    <w:rsid w:val="00013C79"/>
    <w:rsid w:val="000157A5"/>
    <w:rsid w:val="00016DD8"/>
    <w:rsid w:val="00022071"/>
    <w:rsid w:val="00022656"/>
    <w:rsid w:val="00030762"/>
    <w:rsid w:val="00031CE0"/>
    <w:rsid w:val="00034901"/>
    <w:rsid w:val="00036B38"/>
    <w:rsid w:val="00037630"/>
    <w:rsid w:val="00042EBE"/>
    <w:rsid w:val="000435B7"/>
    <w:rsid w:val="00044825"/>
    <w:rsid w:val="00044E47"/>
    <w:rsid w:val="00045387"/>
    <w:rsid w:val="00047D3E"/>
    <w:rsid w:val="00050323"/>
    <w:rsid w:val="00050F12"/>
    <w:rsid w:val="0005200F"/>
    <w:rsid w:val="000523E3"/>
    <w:rsid w:val="000524C0"/>
    <w:rsid w:val="00054A68"/>
    <w:rsid w:val="0005751E"/>
    <w:rsid w:val="00057707"/>
    <w:rsid w:val="0006213E"/>
    <w:rsid w:val="000634EE"/>
    <w:rsid w:val="00065194"/>
    <w:rsid w:val="000653F4"/>
    <w:rsid w:val="00071447"/>
    <w:rsid w:val="000733AA"/>
    <w:rsid w:val="0007461F"/>
    <w:rsid w:val="0007492E"/>
    <w:rsid w:val="00075293"/>
    <w:rsid w:val="00083745"/>
    <w:rsid w:val="000839B6"/>
    <w:rsid w:val="00085806"/>
    <w:rsid w:val="000868E3"/>
    <w:rsid w:val="00087AAB"/>
    <w:rsid w:val="00091293"/>
    <w:rsid w:val="00095382"/>
    <w:rsid w:val="00095971"/>
    <w:rsid w:val="00097122"/>
    <w:rsid w:val="000A0E85"/>
    <w:rsid w:val="000A4C54"/>
    <w:rsid w:val="000A5319"/>
    <w:rsid w:val="000C0D29"/>
    <w:rsid w:val="000C1E1D"/>
    <w:rsid w:val="000C31B3"/>
    <w:rsid w:val="000C4A78"/>
    <w:rsid w:val="000C4C89"/>
    <w:rsid w:val="000C5291"/>
    <w:rsid w:val="000C53E3"/>
    <w:rsid w:val="000C54E9"/>
    <w:rsid w:val="000D4B3B"/>
    <w:rsid w:val="000D5CC7"/>
    <w:rsid w:val="000D6938"/>
    <w:rsid w:val="000D6BBF"/>
    <w:rsid w:val="000E009A"/>
    <w:rsid w:val="000E1BAE"/>
    <w:rsid w:val="000E5B6E"/>
    <w:rsid w:val="000E7506"/>
    <w:rsid w:val="000F29E3"/>
    <w:rsid w:val="000F58F2"/>
    <w:rsid w:val="000F612B"/>
    <w:rsid w:val="000F6798"/>
    <w:rsid w:val="0010234A"/>
    <w:rsid w:val="001045F1"/>
    <w:rsid w:val="00106CBA"/>
    <w:rsid w:val="001113B6"/>
    <w:rsid w:val="001133DE"/>
    <w:rsid w:val="001154AC"/>
    <w:rsid w:val="001172D6"/>
    <w:rsid w:val="0012253C"/>
    <w:rsid w:val="00124929"/>
    <w:rsid w:val="00134267"/>
    <w:rsid w:val="001362A8"/>
    <w:rsid w:val="00137F3D"/>
    <w:rsid w:val="00141CDB"/>
    <w:rsid w:val="001449B9"/>
    <w:rsid w:val="00145953"/>
    <w:rsid w:val="00145C9E"/>
    <w:rsid w:val="00145CFB"/>
    <w:rsid w:val="001515EE"/>
    <w:rsid w:val="001541CB"/>
    <w:rsid w:val="00156884"/>
    <w:rsid w:val="00161652"/>
    <w:rsid w:val="00162B82"/>
    <w:rsid w:val="001635A8"/>
    <w:rsid w:val="00165756"/>
    <w:rsid w:val="00173213"/>
    <w:rsid w:val="00173587"/>
    <w:rsid w:val="0017440D"/>
    <w:rsid w:val="0017451B"/>
    <w:rsid w:val="001762F8"/>
    <w:rsid w:val="00176ABE"/>
    <w:rsid w:val="00177E55"/>
    <w:rsid w:val="00180347"/>
    <w:rsid w:val="0018081D"/>
    <w:rsid w:val="00180E08"/>
    <w:rsid w:val="00183C49"/>
    <w:rsid w:val="00184AFB"/>
    <w:rsid w:val="00190EAC"/>
    <w:rsid w:val="00193D52"/>
    <w:rsid w:val="00194334"/>
    <w:rsid w:val="0019513D"/>
    <w:rsid w:val="00196984"/>
    <w:rsid w:val="00197AFB"/>
    <w:rsid w:val="001A231F"/>
    <w:rsid w:val="001A7721"/>
    <w:rsid w:val="001B0058"/>
    <w:rsid w:val="001B14D6"/>
    <w:rsid w:val="001B1B1E"/>
    <w:rsid w:val="001B1E9B"/>
    <w:rsid w:val="001B7897"/>
    <w:rsid w:val="001C27ED"/>
    <w:rsid w:val="001C574F"/>
    <w:rsid w:val="001C75D2"/>
    <w:rsid w:val="001D07EC"/>
    <w:rsid w:val="001D2FD3"/>
    <w:rsid w:val="001D3F3F"/>
    <w:rsid w:val="001D62D9"/>
    <w:rsid w:val="001D6A32"/>
    <w:rsid w:val="001D7D13"/>
    <w:rsid w:val="001E02F2"/>
    <w:rsid w:val="001E1B77"/>
    <w:rsid w:val="001E1CDA"/>
    <w:rsid w:val="001E37D9"/>
    <w:rsid w:val="001E4328"/>
    <w:rsid w:val="001E60E5"/>
    <w:rsid w:val="001E65AC"/>
    <w:rsid w:val="001E699A"/>
    <w:rsid w:val="001E6BD5"/>
    <w:rsid w:val="001F03AF"/>
    <w:rsid w:val="001F0E16"/>
    <w:rsid w:val="001F202A"/>
    <w:rsid w:val="001F4C7B"/>
    <w:rsid w:val="001F50DB"/>
    <w:rsid w:val="001F58B5"/>
    <w:rsid w:val="00200AA4"/>
    <w:rsid w:val="002040ED"/>
    <w:rsid w:val="002047CD"/>
    <w:rsid w:val="002066BA"/>
    <w:rsid w:val="002109E9"/>
    <w:rsid w:val="0021332F"/>
    <w:rsid w:val="00213B1C"/>
    <w:rsid w:val="002164F1"/>
    <w:rsid w:val="0022085A"/>
    <w:rsid w:val="002238A3"/>
    <w:rsid w:val="002243D8"/>
    <w:rsid w:val="002255ED"/>
    <w:rsid w:val="00226FE8"/>
    <w:rsid w:val="002270D7"/>
    <w:rsid w:val="002302DF"/>
    <w:rsid w:val="00230496"/>
    <w:rsid w:val="00230810"/>
    <w:rsid w:val="00231D51"/>
    <w:rsid w:val="00233483"/>
    <w:rsid w:val="00233825"/>
    <w:rsid w:val="00234C66"/>
    <w:rsid w:val="002373C9"/>
    <w:rsid w:val="00237AC7"/>
    <w:rsid w:val="00240394"/>
    <w:rsid w:val="00241FE1"/>
    <w:rsid w:val="00242DCE"/>
    <w:rsid w:val="00243776"/>
    <w:rsid w:val="00243F92"/>
    <w:rsid w:val="0024522D"/>
    <w:rsid w:val="0024733C"/>
    <w:rsid w:val="00250961"/>
    <w:rsid w:val="0025100E"/>
    <w:rsid w:val="00251A65"/>
    <w:rsid w:val="00254AA2"/>
    <w:rsid w:val="0025555F"/>
    <w:rsid w:val="0026152D"/>
    <w:rsid w:val="002660FA"/>
    <w:rsid w:val="00267047"/>
    <w:rsid w:val="00267135"/>
    <w:rsid w:val="002672E7"/>
    <w:rsid w:val="00280450"/>
    <w:rsid w:val="00280D6C"/>
    <w:rsid w:val="00283DEE"/>
    <w:rsid w:val="0028660A"/>
    <w:rsid w:val="00286F94"/>
    <w:rsid w:val="002871BC"/>
    <w:rsid w:val="00294787"/>
    <w:rsid w:val="002968F2"/>
    <w:rsid w:val="002A0444"/>
    <w:rsid w:val="002A06E6"/>
    <w:rsid w:val="002A0C7A"/>
    <w:rsid w:val="002A1676"/>
    <w:rsid w:val="002A16E9"/>
    <w:rsid w:val="002A1800"/>
    <w:rsid w:val="002A3A2F"/>
    <w:rsid w:val="002A6DAD"/>
    <w:rsid w:val="002A74DA"/>
    <w:rsid w:val="002B4562"/>
    <w:rsid w:val="002B78A2"/>
    <w:rsid w:val="002C019F"/>
    <w:rsid w:val="002C0778"/>
    <w:rsid w:val="002D2432"/>
    <w:rsid w:val="002D5240"/>
    <w:rsid w:val="002E254B"/>
    <w:rsid w:val="002E4C77"/>
    <w:rsid w:val="002E535F"/>
    <w:rsid w:val="002F08B9"/>
    <w:rsid w:val="002F0F4D"/>
    <w:rsid w:val="002F10F8"/>
    <w:rsid w:val="00304063"/>
    <w:rsid w:val="00304D53"/>
    <w:rsid w:val="00304FCB"/>
    <w:rsid w:val="00305E59"/>
    <w:rsid w:val="00310915"/>
    <w:rsid w:val="0031131C"/>
    <w:rsid w:val="00313521"/>
    <w:rsid w:val="00313B22"/>
    <w:rsid w:val="00316764"/>
    <w:rsid w:val="0032048D"/>
    <w:rsid w:val="0032190E"/>
    <w:rsid w:val="003243CA"/>
    <w:rsid w:val="003252DA"/>
    <w:rsid w:val="00327DB1"/>
    <w:rsid w:val="00327EB2"/>
    <w:rsid w:val="00331D80"/>
    <w:rsid w:val="003335A9"/>
    <w:rsid w:val="00333EFF"/>
    <w:rsid w:val="00336615"/>
    <w:rsid w:val="00343DCD"/>
    <w:rsid w:val="00344307"/>
    <w:rsid w:val="00346E66"/>
    <w:rsid w:val="003472CB"/>
    <w:rsid w:val="00347EC4"/>
    <w:rsid w:val="00354719"/>
    <w:rsid w:val="00355121"/>
    <w:rsid w:val="00360169"/>
    <w:rsid w:val="003609CB"/>
    <w:rsid w:val="00361FE0"/>
    <w:rsid w:val="00364DF4"/>
    <w:rsid w:val="00367BD9"/>
    <w:rsid w:val="00373EC0"/>
    <w:rsid w:val="00375B49"/>
    <w:rsid w:val="003802B5"/>
    <w:rsid w:val="00380563"/>
    <w:rsid w:val="003842F1"/>
    <w:rsid w:val="0038433E"/>
    <w:rsid w:val="003852BB"/>
    <w:rsid w:val="00386146"/>
    <w:rsid w:val="0038689F"/>
    <w:rsid w:val="003909FB"/>
    <w:rsid w:val="00392192"/>
    <w:rsid w:val="00395B53"/>
    <w:rsid w:val="00395D6D"/>
    <w:rsid w:val="00396681"/>
    <w:rsid w:val="003967D5"/>
    <w:rsid w:val="0039706A"/>
    <w:rsid w:val="003A2D17"/>
    <w:rsid w:val="003A3B26"/>
    <w:rsid w:val="003A3E77"/>
    <w:rsid w:val="003B0147"/>
    <w:rsid w:val="003B4850"/>
    <w:rsid w:val="003B5FF8"/>
    <w:rsid w:val="003B70A3"/>
    <w:rsid w:val="003C1ACC"/>
    <w:rsid w:val="003C7A6C"/>
    <w:rsid w:val="003C7B23"/>
    <w:rsid w:val="003D10CA"/>
    <w:rsid w:val="003D5032"/>
    <w:rsid w:val="003E018E"/>
    <w:rsid w:val="003E1A53"/>
    <w:rsid w:val="003E5DAA"/>
    <w:rsid w:val="003E5DCA"/>
    <w:rsid w:val="003E78AB"/>
    <w:rsid w:val="003F106C"/>
    <w:rsid w:val="003F2996"/>
    <w:rsid w:val="003F2B01"/>
    <w:rsid w:val="003F321D"/>
    <w:rsid w:val="003F4AA4"/>
    <w:rsid w:val="003F55BA"/>
    <w:rsid w:val="003F62F8"/>
    <w:rsid w:val="00402355"/>
    <w:rsid w:val="004037B8"/>
    <w:rsid w:val="00410AB6"/>
    <w:rsid w:val="00411876"/>
    <w:rsid w:val="004125E0"/>
    <w:rsid w:val="00413855"/>
    <w:rsid w:val="0041540D"/>
    <w:rsid w:val="00416A57"/>
    <w:rsid w:val="0042236B"/>
    <w:rsid w:val="00425105"/>
    <w:rsid w:val="00425EC5"/>
    <w:rsid w:val="004274DC"/>
    <w:rsid w:val="00437E10"/>
    <w:rsid w:val="00441346"/>
    <w:rsid w:val="004414F4"/>
    <w:rsid w:val="0044367E"/>
    <w:rsid w:val="00446E4C"/>
    <w:rsid w:val="004501F0"/>
    <w:rsid w:val="00450EA5"/>
    <w:rsid w:val="00451C4E"/>
    <w:rsid w:val="00451F92"/>
    <w:rsid w:val="00452D59"/>
    <w:rsid w:val="00454C12"/>
    <w:rsid w:val="0045670D"/>
    <w:rsid w:val="004602B3"/>
    <w:rsid w:val="00462A01"/>
    <w:rsid w:val="004632E0"/>
    <w:rsid w:val="00463452"/>
    <w:rsid w:val="004648FC"/>
    <w:rsid w:val="00465F71"/>
    <w:rsid w:val="00474C2B"/>
    <w:rsid w:val="004756D0"/>
    <w:rsid w:val="0047651B"/>
    <w:rsid w:val="004766CA"/>
    <w:rsid w:val="00480708"/>
    <w:rsid w:val="00481A5C"/>
    <w:rsid w:val="00481EE0"/>
    <w:rsid w:val="00484775"/>
    <w:rsid w:val="00484EE0"/>
    <w:rsid w:val="00486597"/>
    <w:rsid w:val="00486B8B"/>
    <w:rsid w:val="00491353"/>
    <w:rsid w:val="00492CAA"/>
    <w:rsid w:val="004930BD"/>
    <w:rsid w:val="00493F68"/>
    <w:rsid w:val="004946A5"/>
    <w:rsid w:val="00494D3D"/>
    <w:rsid w:val="004978DF"/>
    <w:rsid w:val="004A0AE5"/>
    <w:rsid w:val="004A41B5"/>
    <w:rsid w:val="004A5163"/>
    <w:rsid w:val="004A7FA6"/>
    <w:rsid w:val="004B0569"/>
    <w:rsid w:val="004B269D"/>
    <w:rsid w:val="004B469D"/>
    <w:rsid w:val="004B4E29"/>
    <w:rsid w:val="004B7C4F"/>
    <w:rsid w:val="004B7C88"/>
    <w:rsid w:val="004C3858"/>
    <w:rsid w:val="004C4F08"/>
    <w:rsid w:val="004D2068"/>
    <w:rsid w:val="004D206D"/>
    <w:rsid w:val="004D405C"/>
    <w:rsid w:val="004D46C6"/>
    <w:rsid w:val="004E04F7"/>
    <w:rsid w:val="004E16D5"/>
    <w:rsid w:val="004E1FDF"/>
    <w:rsid w:val="004E2110"/>
    <w:rsid w:val="004E272D"/>
    <w:rsid w:val="004E3DEE"/>
    <w:rsid w:val="004E4CC3"/>
    <w:rsid w:val="004E6BCC"/>
    <w:rsid w:val="004E6EF2"/>
    <w:rsid w:val="004E731D"/>
    <w:rsid w:val="004F15FC"/>
    <w:rsid w:val="004F2A6C"/>
    <w:rsid w:val="004F38A7"/>
    <w:rsid w:val="004F3EBE"/>
    <w:rsid w:val="004F4704"/>
    <w:rsid w:val="004F5D25"/>
    <w:rsid w:val="004F74F0"/>
    <w:rsid w:val="00500300"/>
    <w:rsid w:val="00501E74"/>
    <w:rsid w:val="0050616C"/>
    <w:rsid w:val="00507FCA"/>
    <w:rsid w:val="00514BD8"/>
    <w:rsid w:val="0051604B"/>
    <w:rsid w:val="00517705"/>
    <w:rsid w:val="00520D0A"/>
    <w:rsid w:val="00523B3A"/>
    <w:rsid w:val="00524D4C"/>
    <w:rsid w:val="00533817"/>
    <w:rsid w:val="00541026"/>
    <w:rsid w:val="005413E0"/>
    <w:rsid w:val="00543BB1"/>
    <w:rsid w:val="00545783"/>
    <w:rsid w:val="0054744D"/>
    <w:rsid w:val="00547651"/>
    <w:rsid w:val="00547834"/>
    <w:rsid w:val="005549DE"/>
    <w:rsid w:val="0056084D"/>
    <w:rsid w:val="00561D8E"/>
    <w:rsid w:val="00565362"/>
    <w:rsid w:val="005655C6"/>
    <w:rsid w:val="00565636"/>
    <w:rsid w:val="00565B97"/>
    <w:rsid w:val="00566249"/>
    <w:rsid w:val="0056656F"/>
    <w:rsid w:val="00570529"/>
    <w:rsid w:val="0057323E"/>
    <w:rsid w:val="00573851"/>
    <w:rsid w:val="0057596F"/>
    <w:rsid w:val="005778E8"/>
    <w:rsid w:val="00577F1D"/>
    <w:rsid w:val="00580551"/>
    <w:rsid w:val="0058329C"/>
    <w:rsid w:val="00583E97"/>
    <w:rsid w:val="005846ED"/>
    <w:rsid w:val="00585A27"/>
    <w:rsid w:val="00586A3D"/>
    <w:rsid w:val="005871AE"/>
    <w:rsid w:val="005906D0"/>
    <w:rsid w:val="0059387D"/>
    <w:rsid w:val="0059575C"/>
    <w:rsid w:val="00596599"/>
    <w:rsid w:val="00596E99"/>
    <w:rsid w:val="005A2BF3"/>
    <w:rsid w:val="005A38A2"/>
    <w:rsid w:val="005A67C9"/>
    <w:rsid w:val="005B1175"/>
    <w:rsid w:val="005B14E7"/>
    <w:rsid w:val="005B33C4"/>
    <w:rsid w:val="005B4354"/>
    <w:rsid w:val="005B53FB"/>
    <w:rsid w:val="005B55F4"/>
    <w:rsid w:val="005B5C43"/>
    <w:rsid w:val="005B6691"/>
    <w:rsid w:val="005D043E"/>
    <w:rsid w:val="005D2212"/>
    <w:rsid w:val="005D3EEE"/>
    <w:rsid w:val="005D710E"/>
    <w:rsid w:val="005E3526"/>
    <w:rsid w:val="005E48C4"/>
    <w:rsid w:val="005E54BC"/>
    <w:rsid w:val="005E5869"/>
    <w:rsid w:val="005E635C"/>
    <w:rsid w:val="005F56B4"/>
    <w:rsid w:val="005F70C2"/>
    <w:rsid w:val="005F7585"/>
    <w:rsid w:val="00600142"/>
    <w:rsid w:val="00601517"/>
    <w:rsid w:val="00603153"/>
    <w:rsid w:val="00604E95"/>
    <w:rsid w:val="00610483"/>
    <w:rsid w:val="00613114"/>
    <w:rsid w:val="006148A1"/>
    <w:rsid w:val="00616A70"/>
    <w:rsid w:val="00620FE7"/>
    <w:rsid w:val="0063088A"/>
    <w:rsid w:val="00632E3C"/>
    <w:rsid w:val="006361C5"/>
    <w:rsid w:val="00636634"/>
    <w:rsid w:val="00636DE6"/>
    <w:rsid w:val="00636F42"/>
    <w:rsid w:val="00637042"/>
    <w:rsid w:val="00637420"/>
    <w:rsid w:val="00637491"/>
    <w:rsid w:val="00642201"/>
    <w:rsid w:val="0064337E"/>
    <w:rsid w:val="00643D96"/>
    <w:rsid w:val="00646C74"/>
    <w:rsid w:val="00647394"/>
    <w:rsid w:val="00652779"/>
    <w:rsid w:val="006554DB"/>
    <w:rsid w:val="006571E8"/>
    <w:rsid w:val="00657B4F"/>
    <w:rsid w:val="00661BC5"/>
    <w:rsid w:val="006649BB"/>
    <w:rsid w:val="006649D6"/>
    <w:rsid w:val="006652CC"/>
    <w:rsid w:val="006655B2"/>
    <w:rsid w:val="0066614F"/>
    <w:rsid w:val="00667825"/>
    <w:rsid w:val="00671516"/>
    <w:rsid w:val="0067409B"/>
    <w:rsid w:val="00676111"/>
    <w:rsid w:val="00676599"/>
    <w:rsid w:val="00680D53"/>
    <w:rsid w:val="00683529"/>
    <w:rsid w:val="006850F7"/>
    <w:rsid w:val="00685F78"/>
    <w:rsid w:val="00686335"/>
    <w:rsid w:val="006873B2"/>
    <w:rsid w:val="00687992"/>
    <w:rsid w:val="0069234A"/>
    <w:rsid w:val="00693015"/>
    <w:rsid w:val="006957E9"/>
    <w:rsid w:val="0069627F"/>
    <w:rsid w:val="00697702"/>
    <w:rsid w:val="006A3D53"/>
    <w:rsid w:val="006A3F09"/>
    <w:rsid w:val="006A447A"/>
    <w:rsid w:val="006A7324"/>
    <w:rsid w:val="006B2A25"/>
    <w:rsid w:val="006B337A"/>
    <w:rsid w:val="006B423A"/>
    <w:rsid w:val="006B4CF7"/>
    <w:rsid w:val="006B4F53"/>
    <w:rsid w:val="006B4F5B"/>
    <w:rsid w:val="006B7696"/>
    <w:rsid w:val="006C0D42"/>
    <w:rsid w:val="006C23EE"/>
    <w:rsid w:val="006C4A2D"/>
    <w:rsid w:val="006C60CD"/>
    <w:rsid w:val="006C68E3"/>
    <w:rsid w:val="006D1782"/>
    <w:rsid w:val="006D34FB"/>
    <w:rsid w:val="006D5C1E"/>
    <w:rsid w:val="006D762C"/>
    <w:rsid w:val="006E01FC"/>
    <w:rsid w:val="006E0F2F"/>
    <w:rsid w:val="006E1793"/>
    <w:rsid w:val="006E4C20"/>
    <w:rsid w:val="006E5988"/>
    <w:rsid w:val="006E6530"/>
    <w:rsid w:val="006E67B0"/>
    <w:rsid w:val="006F107B"/>
    <w:rsid w:val="006F1080"/>
    <w:rsid w:val="006F27FE"/>
    <w:rsid w:val="006F2E98"/>
    <w:rsid w:val="006F4350"/>
    <w:rsid w:val="006F4AD8"/>
    <w:rsid w:val="006F6321"/>
    <w:rsid w:val="007014D3"/>
    <w:rsid w:val="00701EAF"/>
    <w:rsid w:val="00702D5C"/>
    <w:rsid w:val="00703014"/>
    <w:rsid w:val="007038F9"/>
    <w:rsid w:val="00704422"/>
    <w:rsid w:val="0070459D"/>
    <w:rsid w:val="00710209"/>
    <w:rsid w:val="00711CF3"/>
    <w:rsid w:val="00713803"/>
    <w:rsid w:val="00715357"/>
    <w:rsid w:val="007162EF"/>
    <w:rsid w:val="00717AFD"/>
    <w:rsid w:val="007204C1"/>
    <w:rsid w:val="00720DE5"/>
    <w:rsid w:val="00722BC9"/>
    <w:rsid w:val="007236D5"/>
    <w:rsid w:val="00726DC9"/>
    <w:rsid w:val="0073179E"/>
    <w:rsid w:val="007325FE"/>
    <w:rsid w:val="007343E2"/>
    <w:rsid w:val="00740983"/>
    <w:rsid w:val="007456E8"/>
    <w:rsid w:val="00753776"/>
    <w:rsid w:val="007541AD"/>
    <w:rsid w:val="0075440C"/>
    <w:rsid w:val="00754A13"/>
    <w:rsid w:val="00754BF6"/>
    <w:rsid w:val="007616C9"/>
    <w:rsid w:val="00766C20"/>
    <w:rsid w:val="00766F6D"/>
    <w:rsid w:val="007676A3"/>
    <w:rsid w:val="00767A30"/>
    <w:rsid w:val="0077022C"/>
    <w:rsid w:val="00770254"/>
    <w:rsid w:val="007707A2"/>
    <w:rsid w:val="0077194C"/>
    <w:rsid w:val="00771A95"/>
    <w:rsid w:val="0077324D"/>
    <w:rsid w:val="00774399"/>
    <w:rsid w:val="00777556"/>
    <w:rsid w:val="007802B8"/>
    <w:rsid w:val="00783793"/>
    <w:rsid w:val="007865F8"/>
    <w:rsid w:val="00786847"/>
    <w:rsid w:val="00786961"/>
    <w:rsid w:val="00787431"/>
    <w:rsid w:val="00787829"/>
    <w:rsid w:val="007937D4"/>
    <w:rsid w:val="00794638"/>
    <w:rsid w:val="007A33EC"/>
    <w:rsid w:val="007A38ED"/>
    <w:rsid w:val="007A5A4F"/>
    <w:rsid w:val="007A6267"/>
    <w:rsid w:val="007B6759"/>
    <w:rsid w:val="007C0669"/>
    <w:rsid w:val="007C07C0"/>
    <w:rsid w:val="007C305D"/>
    <w:rsid w:val="007C3B2B"/>
    <w:rsid w:val="007C3BB3"/>
    <w:rsid w:val="007C7AA2"/>
    <w:rsid w:val="007D0BC2"/>
    <w:rsid w:val="007D2FDA"/>
    <w:rsid w:val="007D3C58"/>
    <w:rsid w:val="007D44D6"/>
    <w:rsid w:val="007D4B08"/>
    <w:rsid w:val="007D5F1D"/>
    <w:rsid w:val="007E2DAC"/>
    <w:rsid w:val="007E6F14"/>
    <w:rsid w:val="007F6D44"/>
    <w:rsid w:val="007F73A3"/>
    <w:rsid w:val="00800B0D"/>
    <w:rsid w:val="00800B81"/>
    <w:rsid w:val="00800B86"/>
    <w:rsid w:val="008019EB"/>
    <w:rsid w:val="0080361B"/>
    <w:rsid w:val="00803E78"/>
    <w:rsid w:val="00807805"/>
    <w:rsid w:val="00807E29"/>
    <w:rsid w:val="008100DA"/>
    <w:rsid w:val="008115B3"/>
    <w:rsid w:val="00812751"/>
    <w:rsid w:val="00812ADA"/>
    <w:rsid w:val="00813642"/>
    <w:rsid w:val="0081583C"/>
    <w:rsid w:val="00823A33"/>
    <w:rsid w:val="0082746D"/>
    <w:rsid w:val="00830C16"/>
    <w:rsid w:val="00834C34"/>
    <w:rsid w:val="0083691B"/>
    <w:rsid w:val="00837EA7"/>
    <w:rsid w:val="0084168E"/>
    <w:rsid w:val="0084244D"/>
    <w:rsid w:val="00846EAB"/>
    <w:rsid w:val="0085053D"/>
    <w:rsid w:val="0085170A"/>
    <w:rsid w:val="0085177F"/>
    <w:rsid w:val="008523AA"/>
    <w:rsid w:val="00852461"/>
    <w:rsid w:val="00854DE8"/>
    <w:rsid w:val="00856558"/>
    <w:rsid w:val="00857454"/>
    <w:rsid w:val="008626B9"/>
    <w:rsid w:val="008629CC"/>
    <w:rsid w:val="00862BD8"/>
    <w:rsid w:val="00863C3C"/>
    <w:rsid w:val="008702EB"/>
    <w:rsid w:val="00870AB6"/>
    <w:rsid w:val="00876AAE"/>
    <w:rsid w:val="0088041F"/>
    <w:rsid w:val="00881D10"/>
    <w:rsid w:val="0088357C"/>
    <w:rsid w:val="00886F29"/>
    <w:rsid w:val="008875F0"/>
    <w:rsid w:val="00890115"/>
    <w:rsid w:val="008930A1"/>
    <w:rsid w:val="00893CEC"/>
    <w:rsid w:val="008A02F2"/>
    <w:rsid w:val="008A234B"/>
    <w:rsid w:val="008A44A4"/>
    <w:rsid w:val="008A7560"/>
    <w:rsid w:val="008B0286"/>
    <w:rsid w:val="008B4741"/>
    <w:rsid w:val="008B5BEC"/>
    <w:rsid w:val="008C3405"/>
    <w:rsid w:val="008C458A"/>
    <w:rsid w:val="008C4FA3"/>
    <w:rsid w:val="008C616B"/>
    <w:rsid w:val="008D218A"/>
    <w:rsid w:val="008D6E12"/>
    <w:rsid w:val="008E21E5"/>
    <w:rsid w:val="008E3DBE"/>
    <w:rsid w:val="008E680A"/>
    <w:rsid w:val="008E75B4"/>
    <w:rsid w:val="008F33F1"/>
    <w:rsid w:val="00900D0A"/>
    <w:rsid w:val="00900E35"/>
    <w:rsid w:val="009035EF"/>
    <w:rsid w:val="00905101"/>
    <w:rsid w:val="00906178"/>
    <w:rsid w:val="00906421"/>
    <w:rsid w:val="009134EF"/>
    <w:rsid w:val="0091560C"/>
    <w:rsid w:val="009200DF"/>
    <w:rsid w:val="0092071B"/>
    <w:rsid w:val="00922C73"/>
    <w:rsid w:val="009239E1"/>
    <w:rsid w:val="00923A0C"/>
    <w:rsid w:val="00926E14"/>
    <w:rsid w:val="0092796E"/>
    <w:rsid w:val="00930EA5"/>
    <w:rsid w:val="00931710"/>
    <w:rsid w:val="009323F1"/>
    <w:rsid w:val="00936893"/>
    <w:rsid w:val="009410D2"/>
    <w:rsid w:val="00941A9D"/>
    <w:rsid w:val="00941F22"/>
    <w:rsid w:val="009433E2"/>
    <w:rsid w:val="00943FC5"/>
    <w:rsid w:val="00944F55"/>
    <w:rsid w:val="00945ACC"/>
    <w:rsid w:val="009460A4"/>
    <w:rsid w:val="00947E37"/>
    <w:rsid w:val="00950B01"/>
    <w:rsid w:val="0095128F"/>
    <w:rsid w:val="009562D1"/>
    <w:rsid w:val="00961049"/>
    <w:rsid w:val="00962289"/>
    <w:rsid w:val="00962850"/>
    <w:rsid w:val="0096338D"/>
    <w:rsid w:val="00963B81"/>
    <w:rsid w:val="00963EDB"/>
    <w:rsid w:val="0096708F"/>
    <w:rsid w:val="00970AFE"/>
    <w:rsid w:val="00971F27"/>
    <w:rsid w:val="00972A00"/>
    <w:rsid w:val="00973C3C"/>
    <w:rsid w:val="00980A3D"/>
    <w:rsid w:val="0099615C"/>
    <w:rsid w:val="00996FD4"/>
    <w:rsid w:val="009A27C4"/>
    <w:rsid w:val="009A2972"/>
    <w:rsid w:val="009A60DD"/>
    <w:rsid w:val="009A62A1"/>
    <w:rsid w:val="009B1B16"/>
    <w:rsid w:val="009B31D9"/>
    <w:rsid w:val="009B32F8"/>
    <w:rsid w:val="009B3D6A"/>
    <w:rsid w:val="009B3E2B"/>
    <w:rsid w:val="009B677F"/>
    <w:rsid w:val="009C245D"/>
    <w:rsid w:val="009C354D"/>
    <w:rsid w:val="009C3837"/>
    <w:rsid w:val="009C5EF1"/>
    <w:rsid w:val="009D2AE7"/>
    <w:rsid w:val="009D2FC1"/>
    <w:rsid w:val="009E18C9"/>
    <w:rsid w:val="009E2092"/>
    <w:rsid w:val="009E743D"/>
    <w:rsid w:val="009E7C11"/>
    <w:rsid w:val="009F193C"/>
    <w:rsid w:val="009F20DF"/>
    <w:rsid w:val="009F5740"/>
    <w:rsid w:val="00A002F2"/>
    <w:rsid w:val="00A01966"/>
    <w:rsid w:val="00A0259E"/>
    <w:rsid w:val="00A02725"/>
    <w:rsid w:val="00A035C6"/>
    <w:rsid w:val="00A064DF"/>
    <w:rsid w:val="00A12A7E"/>
    <w:rsid w:val="00A144AD"/>
    <w:rsid w:val="00A14A3E"/>
    <w:rsid w:val="00A15FB3"/>
    <w:rsid w:val="00A16581"/>
    <w:rsid w:val="00A17B23"/>
    <w:rsid w:val="00A22048"/>
    <w:rsid w:val="00A226FB"/>
    <w:rsid w:val="00A228F3"/>
    <w:rsid w:val="00A243FD"/>
    <w:rsid w:val="00A25856"/>
    <w:rsid w:val="00A2749B"/>
    <w:rsid w:val="00A302AD"/>
    <w:rsid w:val="00A30932"/>
    <w:rsid w:val="00A3402A"/>
    <w:rsid w:val="00A34549"/>
    <w:rsid w:val="00A4125D"/>
    <w:rsid w:val="00A47B6A"/>
    <w:rsid w:val="00A47B72"/>
    <w:rsid w:val="00A5067C"/>
    <w:rsid w:val="00A55AFE"/>
    <w:rsid w:val="00A5747C"/>
    <w:rsid w:val="00A608C1"/>
    <w:rsid w:val="00A6155A"/>
    <w:rsid w:val="00A625EB"/>
    <w:rsid w:val="00A67D11"/>
    <w:rsid w:val="00A70351"/>
    <w:rsid w:val="00A70C8E"/>
    <w:rsid w:val="00A72A29"/>
    <w:rsid w:val="00A74A05"/>
    <w:rsid w:val="00A80EA9"/>
    <w:rsid w:val="00A83856"/>
    <w:rsid w:val="00A83F59"/>
    <w:rsid w:val="00A8612F"/>
    <w:rsid w:val="00A912BF"/>
    <w:rsid w:val="00AA07BB"/>
    <w:rsid w:val="00AA18AA"/>
    <w:rsid w:val="00AA220E"/>
    <w:rsid w:val="00AA5299"/>
    <w:rsid w:val="00AA5B9B"/>
    <w:rsid w:val="00AA6CD2"/>
    <w:rsid w:val="00AB0BB0"/>
    <w:rsid w:val="00AB23D7"/>
    <w:rsid w:val="00AB2A74"/>
    <w:rsid w:val="00AB6E5B"/>
    <w:rsid w:val="00AB787B"/>
    <w:rsid w:val="00AC253B"/>
    <w:rsid w:val="00AC39C0"/>
    <w:rsid w:val="00AC5E51"/>
    <w:rsid w:val="00AC6B59"/>
    <w:rsid w:val="00AC71CB"/>
    <w:rsid w:val="00AD1461"/>
    <w:rsid w:val="00AD1F2D"/>
    <w:rsid w:val="00AD41E0"/>
    <w:rsid w:val="00AD4B88"/>
    <w:rsid w:val="00AD7842"/>
    <w:rsid w:val="00AE120D"/>
    <w:rsid w:val="00AE366B"/>
    <w:rsid w:val="00AE41DE"/>
    <w:rsid w:val="00AE520E"/>
    <w:rsid w:val="00AE75C2"/>
    <w:rsid w:val="00AF21A2"/>
    <w:rsid w:val="00AF6D5B"/>
    <w:rsid w:val="00B006BD"/>
    <w:rsid w:val="00B042B6"/>
    <w:rsid w:val="00B0531F"/>
    <w:rsid w:val="00B06FF3"/>
    <w:rsid w:val="00B17344"/>
    <w:rsid w:val="00B253EA"/>
    <w:rsid w:val="00B25DEF"/>
    <w:rsid w:val="00B261BE"/>
    <w:rsid w:val="00B30C54"/>
    <w:rsid w:val="00B3106C"/>
    <w:rsid w:val="00B3205B"/>
    <w:rsid w:val="00B36C95"/>
    <w:rsid w:val="00B411A4"/>
    <w:rsid w:val="00B41D37"/>
    <w:rsid w:val="00B42711"/>
    <w:rsid w:val="00B42785"/>
    <w:rsid w:val="00B45283"/>
    <w:rsid w:val="00B459E7"/>
    <w:rsid w:val="00B47B9B"/>
    <w:rsid w:val="00B51D5D"/>
    <w:rsid w:val="00B525A6"/>
    <w:rsid w:val="00B54063"/>
    <w:rsid w:val="00B57720"/>
    <w:rsid w:val="00B61D55"/>
    <w:rsid w:val="00B62116"/>
    <w:rsid w:val="00B65BEE"/>
    <w:rsid w:val="00B65D36"/>
    <w:rsid w:val="00B677AD"/>
    <w:rsid w:val="00B70039"/>
    <w:rsid w:val="00B70B32"/>
    <w:rsid w:val="00B72025"/>
    <w:rsid w:val="00B7513F"/>
    <w:rsid w:val="00B76FF8"/>
    <w:rsid w:val="00B7718D"/>
    <w:rsid w:val="00B8180E"/>
    <w:rsid w:val="00B84A17"/>
    <w:rsid w:val="00B8744A"/>
    <w:rsid w:val="00B93E87"/>
    <w:rsid w:val="00BA3B8C"/>
    <w:rsid w:val="00BA454D"/>
    <w:rsid w:val="00BA4EE3"/>
    <w:rsid w:val="00BB11FB"/>
    <w:rsid w:val="00BC0152"/>
    <w:rsid w:val="00BC0B3A"/>
    <w:rsid w:val="00BC1278"/>
    <w:rsid w:val="00BC1AB3"/>
    <w:rsid w:val="00BC5715"/>
    <w:rsid w:val="00BC7F0F"/>
    <w:rsid w:val="00BD0A15"/>
    <w:rsid w:val="00BD0A46"/>
    <w:rsid w:val="00BD32CA"/>
    <w:rsid w:val="00BE3B20"/>
    <w:rsid w:val="00BE3D33"/>
    <w:rsid w:val="00BE4ED4"/>
    <w:rsid w:val="00BE683D"/>
    <w:rsid w:val="00BF06CC"/>
    <w:rsid w:val="00BF07C7"/>
    <w:rsid w:val="00BF2C0C"/>
    <w:rsid w:val="00BF3362"/>
    <w:rsid w:val="00BF33DD"/>
    <w:rsid w:val="00BF3934"/>
    <w:rsid w:val="00BF3A2B"/>
    <w:rsid w:val="00C01792"/>
    <w:rsid w:val="00C0459D"/>
    <w:rsid w:val="00C04996"/>
    <w:rsid w:val="00C04BD3"/>
    <w:rsid w:val="00C10055"/>
    <w:rsid w:val="00C10297"/>
    <w:rsid w:val="00C119DC"/>
    <w:rsid w:val="00C126FA"/>
    <w:rsid w:val="00C14186"/>
    <w:rsid w:val="00C14EBE"/>
    <w:rsid w:val="00C22F2C"/>
    <w:rsid w:val="00C336B2"/>
    <w:rsid w:val="00C348EF"/>
    <w:rsid w:val="00C36874"/>
    <w:rsid w:val="00C415C6"/>
    <w:rsid w:val="00C416C0"/>
    <w:rsid w:val="00C42F9E"/>
    <w:rsid w:val="00C44B30"/>
    <w:rsid w:val="00C44C7B"/>
    <w:rsid w:val="00C47477"/>
    <w:rsid w:val="00C51253"/>
    <w:rsid w:val="00C531D5"/>
    <w:rsid w:val="00C53DEA"/>
    <w:rsid w:val="00C56C32"/>
    <w:rsid w:val="00C57775"/>
    <w:rsid w:val="00C57B8A"/>
    <w:rsid w:val="00C618D7"/>
    <w:rsid w:val="00C64F9F"/>
    <w:rsid w:val="00C66BC3"/>
    <w:rsid w:val="00C6738C"/>
    <w:rsid w:val="00C77ED9"/>
    <w:rsid w:val="00C80703"/>
    <w:rsid w:val="00C856C1"/>
    <w:rsid w:val="00C9755C"/>
    <w:rsid w:val="00C9798A"/>
    <w:rsid w:val="00CA2EC1"/>
    <w:rsid w:val="00CA4337"/>
    <w:rsid w:val="00CA581F"/>
    <w:rsid w:val="00CA6B8C"/>
    <w:rsid w:val="00CB0A52"/>
    <w:rsid w:val="00CB5EE8"/>
    <w:rsid w:val="00CC0744"/>
    <w:rsid w:val="00CC0B16"/>
    <w:rsid w:val="00CC17D7"/>
    <w:rsid w:val="00CC24AC"/>
    <w:rsid w:val="00CC27D0"/>
    <w:rsid w:val="00CC4F29"/>
    <w:rsid w:val="00CC54AC"/>
    <w:rsid w:val="00CD26F1"/>
    <w:rsid w:val="00CD2BEC"/>
    <w:rsid w:val="00CD3317"/>
    <w:rsid w:val="00CD4F12"/>
    <w:rsid w:val="00CD62E1"/>
    <w:rsid w:val="00CD63EA"/>
    <w:rsid w:val="00CD6561"/>
    <w:rsid w:val="00CD6563"/>
    <w:rsid w:val="00CD71C5"/>
    <w:rsid w:val="00CD7596"/>
    <w:rsid w:val="00CD7E33"/>
    <w:rsid w:val="00CE213C"/>
    <w:rsid w:val="00CE3E32"/>
    <w:rsid w:val="00CE6C01"/>
    <w:rsid w:val="00CE7226"/>
    <w:rsid w:val="00CF1245"/>
    <w:rsid w:val="00CF4416"/>
    <w:rsid w:val="00CF502D"/>
    <w:rsid w:val="00CF57F5"/>
    <w:rsid w:val="00D018C8"/>
    <w:rsid w:val="00D0217D"/>
    <w:rsid w:val="00D021D0"/>
    <w:rsid w:val="00D026EF"/>
    <w:rsid w:val="00D0314B"/>
    <w:rsid w:val="00D03447"/>
    <w:rsid w:val="00D05BA7"/>
    <w:rsid w:val="00D06D14"/>
    <w:rsid w:val="00D10A50"/>
    <w:rsid w:val="00D11F37"/>
    <w:rsid w:val="00D12ADB"/>
    <w:rsid w:val="00D13E60"/>
    <w:rsid w:val="00D152D1"/>
    <w:rsid w:val="00D16340"/>
    <w:rsid w:val="00D30026"/>
    <w:rsid w:val="00D3074C"/>
    <w:rsid w:val="00D3153A"/>
    <w:rsid w:val="00D36F3F"/>
    <w:rsid w:val="00D4303C"/>
    <w:rsid w:val="00D43571"/>
    <w:rsid w:val="00D43A5C"/>
    <w:rsid w:val="00D43BE4"/>
    <w:rsid w:val="00D454E1"/>
    <w:rsid w:val="00D45AF2"/>
    <w:rsid w:val="00D4637D"/>
    <w:rsid w:val="00D46908"/>
    <w:rsid w:val="00D47F33"/>
    <w:rsid w:val="00D5356C"/>
    <w:rsid w:val="00D539D2"/>
    <w:rsid w:val="00D541D7"/>
    <w:rsid w:val="00D54A43"/>
    <w:rsid w:val="00D54BB6"/>
    <w:rsid w:val="00D64759"/>
    <w:rsid w:val="00D67521"/>
    <w:rsid w:val="00D709F4"/>
    <w:rsid w:val="00D710E6"/>
    <w:rsid w:val="00D717DC"/>
    <w:rsid w:val="00D726E0"/>
    <w:rsid w:val="00D72DFF"/>
    <w:rsid w:val="00D73CF1"/>
    <w:rsid w:val="00D772C6"/>
    <w:rsid w:val="00D801D9"/>
    <w:rsid w:val="00D807D2"/>
    <w:rsid w:val="00D831F5"/>
    <w:rsid w:val="00D86FB0"/>
    <w:rsid w:val="00D923AB"/>
    <w:rsid w:val="00D92D52"/>
    <w:rsid w:val="00D95E49"/>
    <w:rsid w:val="00DA00A6"/>
    <w:rsid w:val="00DA2096"/>
    <w:rsid w:val="00DA2F1A"/>
    <w:rsid w:val="00DA46E8"/>
    <w:rsid w:val="00DA4A69"/>
    <w:rsid w:val="00DA5C87"/>
    <w:rsid w:val="00DA6472"/>
    <w:rsid w:val="00DB0326"/>
    <w:rsid w:val="00DB1B98"/>
    <w:rsid w:val="00DB3409"/>
    <w:rsid w:val="00DB58D0"/>
    <w:rsid w:val="00DB5F6D"/>
    <w:rsid w:val="00DC10EF"/>
    <w:rsid w:val="00DC203D"/>
    <w:rsid w:val="00DC659B"/>
    <w:rsid w:val="00DD46A4"/>
    <w:rsid w:val="00DD4935"/>
    <w:rsid w:val="00DD49B6"/>
    <w:rsid w:val="00DE0CA1"/>
    <w:rsid w:val="00DE1A0F"/>
    <w:rsid w:val="00DE1D48"/>
    <w:rsid w:val="00DE219D"/>
    <w:rsid w:val="00DE3327"/>
    <w:rsid w:val="00DE33C3"/>
    <w:rsid w:val="00DE3474"/>
    <w:rsid w:val="00DE4937"/>
    <w:rsid w:val="00DE56E8"/>
    <w:rsid w:val="00DE7534"/>
    <w:rsid w:val="00DF76C1"/>
    <w:rsid w:val="00DF7EE5"/>
    <w:rsid w:val="00DF7F11"/>
    <w:rsid w:val="00E00B49"/>
    <w:rsid w:val="00E018D4"/>
    <w:rsid w:val="00E02892"/>
    <w:rsid w:val="00E03D22"/>
    <w:rsid w:val="00E04798"/>
    <w:rsid w:val="00E052F6"/>
    <w:rsid w:val="00E0595B"/>
    <w:rsid w:val="00E07CE9"/>
    <w:rsid w:val="00E10676"/>
    <w:rsid w:val="00E11394"/>
    <w:rsid w:val="00E11F03"/>
    <w:rsid w:val="00E17572"/>
    <w:rsid w:val="00E20B3A"/>
    <w:rsid w:val="00E25726"/>
    <w:rsid w:val="00E26CE3"/>
    <w:rsid w:val="00E354FB"/>
    <w:rsid w:val="00E36D37"/>
    <w:rsid w:val="00E406ED"/>
    <w:rsid w:val="00E42B2D"/>
    <w:rsid w:val="00E44A02"/>
    <w:rsid w:val="00E456B7"/>
    <w:rsid w:val="00E45F2D"/>
    <w:rsid w:val="00E4623C"/>
    <w:rsid w:val="00E46C0E"/>
    <w:rsid w:val="00E475B7"/>
    <w:rsid w:val="00E54046"/>
    <w:rsid w:val="00E5674E"/>
    <w:rsid w:val="00E5794E"/>
    <w:rsid w:val="00E606BD"/>
    <w:rsid w:val="00E60976"/>
    <w:rsid w:val="00E60E1E"/>
    <w:rsid w:val="00E60FDF"/>
    <w:rsid w:val="00E6110F"/>
    <w:rsid w:val="00E70FFF"/>
    <w:rsid w:val="00E736D6"/>
    <w:rsid w:val="00E75E40"/>
    <w:rsid w:val="00E82C4A"/>
    <w:rsid w:val="00E836F0"/>
    <w:rsid w:val="00E836F8"/>
    <w:rsid w:val="00E846C4"/>
    <w:rsid w:val="00E84AAF"/>
    <w:rsid w:val="00E91758"/>
    <w:rsid w:val="00E9253D"/>
    <w:rsid w:val="00E96EDE"/>
    <w:rsid w:val="00EA2E4B"/>
    <w:rsid w:val="00EA4D9C"/>
    <w:rsid w:val="00EB4A04"/>
    <w:rsid w:val="00EB5D4C"/>
    <w:rsid w:val="00EB6ED5"/>
    <w:rsid w:val="00EC0891"/>
    <w:rsid w:val="00EE39AF"/>
    <w:rsid w:val="00EE48E2"/>
    <w:rsid w:val="00EE5ADE"/>
    <w:rsid w:val="00EE6617"/>
    <w:rsid w:val="00EF1106"/>
    <w:rsid w:val="00EF5515"/>
    <w:rsid w:val="00EF736C"/>
    <w:rsid w:val="00EF77A1"/>
    <w:rsid w:val="00F00FD1"/>
    <w:rsid w:val="00F01D11"/>
    <w:rsid w:val="00F0409A"/>
    <w:rsid w:val="00F05749"/>
    <w:rsid w:val="00F11093"/>
    <w:rsid w:val="00F11490"/>
    <w:rsid w:val="00F13E64"/>
    <w:rsid w:val="00F15818"/>
    <w:rsid w:val="00F15956"/>
    <w:rsid w:val="00F16F5B"/>
    <w:rsid w:val="00F24C26"/>
    <w:rsid w:val="00F26A6A"/>
    <w:rsid w:val="00F276EE"/>
    <w:rsid w:val="00F300C0"/>
    <w:rsid w:val="00F30CD5"/>
    <w:rsid w:val="00F3512E"/>
    <w:rsid w:val="00F364E9"/>
    <w:rsid w:val="00F377D7"/>
    <w:rsid w:val="00F405AD"/>
    <w:rsid w:val="00F408DD"/>
    <w:rsid w:val="00F4250A"/>
    <w:rsid w:val="00F430BD"/>
    <w:rsid w:val="00F43A6B"/>
    <w:rsid w:val="00F43E85"/>
    <w:rsid w:val="00F43E8D"/>
    <w:rsid w:val="00F45941"/>
    <w:rsid w:val="00F46C3C"/>
    <w:rsid w:val="00F53F13"/>
    <w:rsid w:val="00F60994"/>
    <w:rsid w:val="00F60AF2"/>
    <w:rsid w:val="00F62564"/>
    <w:rsid w:val="00F6387C"/>
    <w:rsid w:val="00F64B22"/>
    <w:rsid w:val="00F657A0"/>
    <w:rsid w:val="00F7302D"/>
    <w:rsid w:val="00F73127"/>
    <w:rsid w:val="00F736C4"/>
    <w:rsid w:val="00F75086"/>
    <w:rsid w:val="00F826DC"/>
    <w:rsid w:val="00F82C09"/>
    <w:rsid w:val="00F82D91"/>
    <w:rsid w:val="00F83133"/>
    <w:rsid w:val="00F83ADA"/>
    <w:rsid w:val="00F9188C"/>
    <w:rsid w:val="00F93812"/>
    <w:rsid w:val="00F95C9B"/>
    <w:rsid w:val="00FA3183"/>
    <w:rsid w:val="00FA45CE"/>
    <w:rsid w:val="00FA5FE0"/>
    <w:rsid w:val="00FB0002"/>
    <w:rsid w:val="00FB2B13"/>
    <w:rsid w:val="00FB2C3E"/>
    <w:rsid w:val="00FB2E02"/>
    <w:rsid w:val="00FB3D70"/>
    <w:rsid w:val="00FB4CAA"/>
    <w:rsid w:val="00FC2B56"/>
    <w:rsid w:val="00FC3A8D"/>
    <w:rsid w:val="00FC5BC0"/>
    <w:rsid w:val="00FD1147"/>
    <w:rsid w:val="00FD29E7"/>
    <w:rsid w:val="00FE26DD"/>
    <w:rsid w:val="00FE35FA"/>
    <w:rsid w:val="00FF145F"/>
    <w:rsid w:val="00FF24F1"/>
    <w:rsid w:val="00FF79C6"/>
    <w:rsid w:val="02731635"/>
    <w:rsid w:val="048333CC"/>
    <w:rsid w:val="04A33961"/>
    <w:rsid w:val="08CC173E"/>
    <w:rsid w:val="11EF94CF"/>
    <w:rsid w:val="120BEE7E"/>
    <w:rsid w:val="1321A97E"/>
    <w:rsid w:val="13243E17"/>
    <w:rsid w:val="169C168A"/>
    <w:rsid w:val="24968FF7"/>
    <w:rsid w:val="2A579A53"/>
    <w:rsid w:val="32B0FD42"/>
    <w:rsid w:val="3569C64C"/>
    <w:rsid w:val="36B3F44F"/>
    <w:rsid w:val="37C8B378"/>
    <w:rsid w:val="417AAF88"/>
    <w:rsid w:val="4422D207"/>
    <w:rsid w:val="4446D0C2"/>
    <w:rsid w:val="447E9A80"/>
    <w:rsid w:val="44D09A39"/>
    <w:rsid w:val="50F2834C"/>
    <w:rsid w:val="5508D5D2"/>
    <w:rsid w:val="58B51F60"/>
    <w:rsid w:val="599914A2"/>
    <w:rsid w:val="59DA5C07"/>
    <w:rsid w:val="5CCB2D7D"/>
    <w:rsid w:val="6454F86F"/>
    <w:rsid w:val="6D82CF19"/>
    <w:rsid w:val="6F318676"/>
    <w:rsid w:val="76D193CC"/>
    <w:rsid w:val="7AAC1930"/>
    <w:rsid w:val="7D869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EB92F67"/>
  <w15:docId w15:val="{F22A6D93-0A3B-4772-A80E-BD03C56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qFormat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qFormat/>
    <w:pPr>
      <w:keepNext/>
      <w:keepLines/>
      <w:spacing w:before="480"/>
      <w:outlineLvl w:val="0"/>
    </w:pPr>
    <w:rPr>
      <w:rFonts w:ascii="Helvetica" w:eastAsia="Arial Unicode MS" w:hAnsi="Helvetica"/>
      <w:b/>
      <w:color w:val="000000"/>
      <w:u w:color="000000"/>
    </w:rPr>
  </w:style>
  <w:style w:type="paragraph" w:styleId="Heading2">
    <w:name w:val="heading 2"/>
    <w:autoRedefine/>
    <w:rsid w:val="00C53DEA"/>
    <w:pPr>
      <w:keepNext/>
      <w:keepLines/>
      <w:numPr>
        <w:numId w:val="2"/>
      </w:numPr>
      <w:spacing w:before="200"/>
      <w:ind w:left="1843" w:hanging="425"/>
      <w:outlineLvl w:val="1"/>
    </w:pPr>
    <w:rPr>
      <w:rFonts w:ascii="Calibri" w:eastAsia="Arial Unicode MS" w:hAnsi="Calibri" w:cs="Calibri"/>
      <w:color w:val="000000"/>
      <w:sz w:val="24"/>
      <w:szCs w:val="24"/>
      <w:u w:color="000000"/>
    </w:rPr>
  </w:style>
  <w:style w:type="paragraph" w:styleId="Heading3">
    <w:name w:val="heading 3"/>
    <w:pPr>
      <w:outlineLvl w:val="2"/>
    </w:pPr>
    <w:rPr>
      <w:rFonts w:ascii="Helvetica" w:eastAsia="Arial Unicode MS" w:hAnsi="Helvetic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US"/>
    </w:rPr>
  </w:style>
  <w:style w:type="paragraph" w:customStyle="1" w:styleId="TOC11">
    <w:name w:val="TOC 11"/>
    <w:next w:val="Body1"/>
    <w:pPr>
      <w:tabs>
        <w:tab w:val="left" w:pos="720"/>
        <w:tab w:val="right" w:leader="dot" w:pos="9000"/>
      </w:tabs>
      <w:spacing w:line="480" w:lineRule="auto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Unknown0">
    <w:name w:val="Unknown 0"/>
    <w:next w:val="Body1"/>
    <w:semiHidden/>
    <w:pPr>
      <w:tabs>
        <w:tab w:val="left" w:pos="360"/>
      </w:tabs>
      <w:ind w:left="-360" w:firstLine="720"/>
    </w:pPr>
  </w:style>
  <w:style w:type="paragraph" w:customStyle="1" w:styleId="TOC21">
    <w:name w:val="TOC 21"/>
    <w:next w:val="Body1"/>
    <w:pPr>
      <w:ind w:left="24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TOC31">
    <w:name w:val="TOC 31"/>
    <w:next w:val="Body1"/>
    <w:pPr>
      <w:ind w:left="48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List1">
    <w:name w:val="List 1"/>
    <w:basedOn w:val="ImportWordListStyleDefinition1045063150"/>
    <w:semiHidden/>
    <w:pPr>
      <w:tabs>
        <w:tab w:val="num" w:pos="864"/>
      </w:tabs>
      <w:ind w:left="864" w:firstLine="360"/>
    </w:pPr>
  </w:style>
  <w:style w:type="paragraph" w:customStyle="1" w:styleId="ImportWordListStyleDefinition1045063150">
    <w:name w:val="Import Word List Style Definition 1045063150"/>
    <w:pPr>
      <w:ind w:firstLine="720"/>
    </w:pPr>
  </w:style>
  <w:style w:type="paragraph" w:customStyle="1" w:styleId="List21">
    <w:name w:val="List 21"/>
    <w:basedOn w:val="ImportWordListStyleDefinition6"/>
    <w:semiHidden/>
    <w:pPr>
      <w:tabs>
        <w:tab w:val="num" w:pos="864"/>
      </w:tabs>
      <w:ind w:left="864" w:firstLine="360"/>
    </w:pPr>
  </w:style>
  <w:style w:type="paragraph" w:customStyle="1" w:styleId="ImportWordListStyleDefinition6">
    <w:name w:val="Import Word List Style Definition 6"/>
    <w:pPr>
      <w:ind w:firstLine="720"/>
    </w:pPr>
  </w:style>
  <w:style w:type="paragraph" w:customStyle="1" w:styleId="List31">
    <w:name w:val="List 31"/>
    <w:basedOn w:val="ImportWordListStyleDefinition1619945865"/>
    <w:semiHidden/>
    <w:pPr>
      <w:tabs>
        <w:tab w:val="clear" w:pos="720"/>
        <w:tab w:val="num" w:pos="785"/>
      </w:tabs>
      <w:ind w:left="785"/>
    </w:pPr>
  </w:style>
  <w:style w:type="paragraph" w:customStyle="1" w:styleId="ImportWordListStyleDefinition1619945865">
    <w:name w:val="Import Word List Style Definition 1619945865"/>
    <w:pPr>
      <w:tabs>
        <w:tab w:val="num" w:pos="720"/>
      </w:tabs>
      <w:ind w:left="720" w:firstLine="1440"/>
    </w:pPr>
  </w:style>
  <w:style w:type="paragraph" w:customStyle="1" w:styleId="ImportWordListStyleDefinition1125462942">
    <w:name w:val="Import Word List Style Definition 1125462942"/>
    <w:pPr>
      <w:tabs>
        <w:tab w:val="num" w:pos="360"/>
      </w:tabs>
      <w:ind w:left="360" w:firstLine="1800"/>
    </w:pPr>
  </w:style>
  <w:style w:type="paragraph" w:customStyle="1" w:styleId="List41">
    <w:name w:val="List 41"/>
    <w:basedOn w:val="ImportWordListStyleDefinition26"/>
    <w:semiHidden/>
  </w:style>
  <w:style w:type="paragraph" w:customStyle="1" w:styleId="ImportWordListStyleDefinition26">
    <w:name w:val="Import Word List Style Definition 26"/>
    <w:pPr>
      <w:ind w:firstLine="720"/>
    </w:pPr>
  </w:style>
  <w:style w:type="paragraph" w:customStyle="1" w:styleId="List51">
    <w:name w:val="List 51"/>
    <w:basedOn w:val="ImportWordListStyleDefinition28"/>
    <w:semiHidden/>
  </w:style>
  <w:style w:type="paragraph" w:customStyle="1" w:styleId="ImportWordListStyleDefinition28">
    <w:name w:val="Import Word List Style Definition 28"/>
    <w:pPr>
      <w:ind w:firstLine="720"/>
    </w:pPr>
  </w:style>
  <w:style w:type="paragraph" w:customStyle="1" w:styleId="List6">
    <w:name w:val="List 6"/>
    <w:basedOn w:val="ImportWordListStyleDefinition26"/>
    <w:semiHidden/>
  </w:style>
  <w:style w:type="paragraph" w:customStyle="1" w:styleId="List7">
    <w:name w:val="List 7"/>
    <w:basedOn w:val="ImportWordListStyleDefinition26"/>
    <w:semiHidden/>
  </w:style>
  <w:style w:type="paragraph" w:customStyle="1" w:styleId="List8">
    <w:name w:val="List 8"/>
    <w:basedOn w:val="ImportWordListStyleDefinition26"/>
    <w:semiHidden/>
  </w:style>
  <w:style w:type="paragraph" w:customStyle="1" w:styleId="List9">
    <w:name w:val="List 9"/>
    <w:basedOn w:val="ImportWordListStyleDefinition36"/>
    <w:semiHidden/>
  </w:style>
  <w:style w:type="paragraph" w:customStyle="1" w:styleId="ImportWordListStyleDefinition36">
    <w:name w:val="Import Word List Style Definition 36"/>
    <w:pPr>
      <w:ind w:firstLine="720"/>
    </w:pPr>
  </w:style>
  <w:style w:type="paragraph" w:customStyle="1" w:styleId="List10">
    <w:name w:val="List 10"/>
    <w:basedOn w:val="ImportWordListStyleDefinition879588045"/>
    <w:semiHidden/>
  </w:style>
  <w:style w:type="paragraph" w:customStyle="1" w:styleId="ImportWordListStyleDefinition879588045">
    <w:name w:val="Import Word List Style Definition 879588045"/>
    <w:pPr>
      <w:ind w:firstLine="720"/>
    </w:pPr>
  </w:style>
  <w:style w:type="paragraph" w:customStyle="1" w:styleId="List11">
    <w:name w:val="List 11"/>
    <w:basedOn w:val="ImportWordListStyleDefinition51"/>
    <w:semiHidden/>
  </w:style>
  <w:style w:type="paragraph" w:customStyle="1" w:styleId="ImportWordListStyleDefinition51">
    <w:name w:val="Import Word List Style Definition 51"/>
    <w:pPr>
      <w:ind w:firstLine="753"/>
    </w:pPr>
  </w:style>
  <w:style w:type="paragraph" w:styleId="TOC1">
    <w:name w:val="toc 1"/>
    <w:basedOn w:val="Normal"/>
    <w:next w:val="Normal"/>
    <w:autoRedefine/>
    <w:uiPriority w:val="39"/>
    <w:locked/>
    <w:rsid w:val="00E5674E"/>
    <w:pPr>
      <w:tabs>
        <w:tab w:val="left" w:pos="440"/>
        <w:tab w:val="right" w:leader="dot" w:pos="9010"/>
      </w:tabs>
      <w:spacing w:line="480" w:lineRule="auto"/>
    </w:pPr>
  </w:style>
  <w:style w:type="paragraph" w:styleId="ListParagraph">
    <w:name w:val="List Paragraph"/>
    <w:basedOn w:val="Normal"/>
    <w:uiPriority w:val="34"/>
    <w:qFormat/>
    <w:rsid w:val="00413855"/>
    <w:pPr>
      <w:ind w:left="720"/>
    </w:pPr>
  </w:style>
  <w:style w:type="paragraph" w:styleId="BalloonText">
    <w:name w:val="Balloon Text"/>
    <w:basedOn w:val="Normal"/>
    <w:link w:val="BalloonTextChar"/>
    <w:locked/>
    <w:rsid w:val="00E6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976"/>
    <w:rPr>
      <w:rFonts w:ascii="Tahoma" w:hAnsi="Tahoma" w:cs="Tahoma"/>
      <w:sz w:val="16"/>
      <w:szCs w:val="16"/>
      <w:lang w:val="en-US" w:eastAsia="en-US"/>
    </w:rPr>
  </w:style>
  <w:style w:type="numbering" w:customStyle="1" w:styleId="ListBullets">
    <w:name w:val="ListBullets"/>
    <w:rsid w:val="00E846C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locked/>
    <w:rsid w:val="00474C2B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locked/>
    <w:rsid w:val="00E846C4"/>
    <w:pPr>
      <w:contextualSpacing/>
    </w:pPr>
  </w:style>
  <w:style w:type="paragraph" w:styleId="ListBullet2">
    <w:name w:val="List Bullet 2"/>
    <w:basedOn w:val="Normal"/>
    <w:locked/>
    <w:rsid w:val="00E846C4"/>
    <w:pPr>
      <w:ind w:left="720" w:hanging="360"/>
      <w:contextualSpacing/>
    </w:pPr>
  </w:style>
  <w:style w:type="paragraph" w:styleId="ListBullet3">
    <w:name w:val="List Bullet 3"/>
    <w:basedOn w:val="Normal"/>
    <w:locked/>
    <w:rsid w:val="00E846C4"/>
    <w:pPr>
      <w:ind w:left="720" w:hanging="360"/>
      <w:contextualSpacing/>
    </w:pPr>
  </w:style>
  <w:style w:type="paragraph" w:styleId="ListBullet4">
    <w:name w:val="List Bullet 4"/>
    <w:basedOn w:val="Normal"/>
    <w:locked/>
    <w:rsid w:val="00E846C4"/>
    <w:pPr>
      <w:ind w:left="720" w:hanging="360"/>
      <w:contextualSpacing/>
    </w:pPr>
  </w:style>
  <w:style w:type="paragraph" w:styleId="ListBullet5">
    <w:name w:val="List Bullet 5"/>
    <w:basedOn w:val="Normal"/>
    <w:locked/>
    <w:rsid w:val="00E846C4"/>
    <w:pPr>
      <w:ind w:left="720" w:hanging="360"/>
      <w:contextualSpacing/>
    </w:pPr>
  </w:style>
  <w:style w:type="character" w:customStyle="1" w:styleId="HeaderChar">
    <w:name w:val="Header Char"/>
    <w:link w:val="Header"/>
    <w:uiPriority w:val="99"/>
    <w:rsid w:val="00474C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74C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4C2B"/>
    <w:rPr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C7F0F"/>
    <w:pPr>
      <w:ind w:left="240"/>
    </w:pPr>
  </w:style>
  <w:style w:type="paragraph" w:customStyle="1" w:styleId="AgtLevel1Heading">
    <w:name w:val="Agt/Level1 Heading"/>
    <w:basedOn w:val="Normal"/>
    <w:rsid w:val="0064337E"/>
    <w:pPr>
      <w:numPr>
        <w:numId w:val="5"/>
      </w:numPr>
    </w:pPr>
    <w:rPr>
      <w:szCs w:val="20"/>
      <w:lang w:val="en-GB" w:eastAsia="en-GB"/>
    </w:rPr>
  </w:style>
  <w:style w:type="paragraph" w:customStyle="1" w:styleId="AgtLevel2">
    <w:name w:val="Agt/Level2"/>
    <w:basedOn w:val="Normal"/>
    <w:rsid w:val="0064337E"/>
    <w:pPr>
      <w:numPr>
        <w:ilvl w:val="1"/>
        <w:numId w:val="5"/>
      </w:numPr>
    </w:pPr>
    <w:rPr>
      <w:szCs w:val="20"/>
      <w:lang w:val="en-GB" w:eastAsia="en-GB"/>
    </w:rPr>
  </w:style>
  <w:style w:type="paragraph" w:customStyle="1" w:styleId="AgtLevel3">
    <w:name w:val="Agt/Level3"/>
    <w:basedOn w:val="Normal"/>
    <w:rsid w:val="0064337E"/>
    <w:pPr>
      <w:numPr>
        <w:ilvl w:val="2"/>
        <w:numId w:val="5"/>
      </w:numPr>
    </w:pPr>
    <w:rPr>
      <w:szCs w:val="20"/>
      <w:lang w:val="en-GB" w:eastAsia="en-GB"/>
    </w:rPr>
  </w:style>
  <w:style w:type="paragraph" w:customStyle="1" w:styleId="AgtLevel4">
    <w:name w:val="Agt/Level4"/>
    <w:basedOn w:val="Normal"/>
    <w:rsid w:val="0064337E"/>
    <w:pPr>
      <w:numPr>
        <w:ilvl w:val="3"/>
        <w:numId w:val="5"/>
      </w:numPr>
    </w:pPr>
    <w:rPr>
      <w:szCs w:val="20"/>
      <w:lang w:val="en-GB" w:eastAsia="en-GB"/>
    </w:rPr>
  </w:style>
  <w:style w:type="paragraph" w:customStyle="1" w:styleId="AgtLevel5">
    <w:name w:val="Agt/Level5"/>
    <w:basedOn w:val="Normal"/>
    <w:rsid w:val="0064337E"/>
    <w:pPr>
      <w:numPr>
        <w:ilvl w:val="4"/>
        <w:numId w:val="5"/>
      </w:numPr>
    </w:pPr>
    <w:rPr>
      <w:szCs w:val="20"/>
      <w:lang w:val="en-GB" w:eastAsia="en-GB"/>
    </w:rPr>
  </w:style>
  <w:style w:type="paragraph" w:customStyle="1" w:styleId="AgtLevel6">
    <w:name w:val="Agt/Level6"/>
    <w:basedOn w:val="Normal"/>
    <w:rsid w:val="0064337E"/>
    <w:pPr>
      <w:numPr>
        <w:ilvl w:val="5"/>
        <w:numId w:val="5"/>
      </w:numPr>
    </w:pPr>
    <w:rPr>
      <w:szCs w:val="20"/>
      <w:lang w:val="en-GB" w:eastAsia="en-GB"/>
    </w:rPr>
  </w:style>
  <w:style w:type="paragraph" w:customStyle="1" w:styleId="AgtLevel7">
    <w:name w:val="Agt/Level7"/>
    <w:basedOn w:val="Normal"/>
    <w:rsid w:val="0064337E"/>
    <w:pPr>
      <w:numPr>
        <w:ilvl w:val="6"/>
        <w:numId w:val="5"/>
      </w:numPr>
    </w:pPr>
    <w:rPr>
      <w:szCs w:val="20"/>
      <w:lang w:val="en-GB" w:eastAsia="en-GB"/>
    </w:rPr>
  </w:style>
  <w:style w:type="paragraph" w:customStyle="1" w:styleId="AgtLevel8">
    <w:name w:val="Agt/Level8"/>
    <w:basedOn w:val="Normal"/>
    <w:rsid w:val="0064337E"/>
    <w:pPr>
      <w:numPr>
        <w:ilvl w:val="7"/>
        <w:numId w:val="5"/>
      </w:numPr>
    </w:pPr>
    <w:rPr>
      <w:szCs w:val="20"/>
      <w:lang w:val="en-GB" w:eastAsia="en-GB"/>
    </w:rPr>
  </w:style>
  <w:style w:type="character" w:styleId="Hyperlink">
    <w:name w:val="Hyperlink"/>
    <w:locked/>
    <w:rsid w:val="00C336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336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locked/>
    <w:rsid w:val="00F831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0499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396681"/>
  </w:style>
  <w:style w:type="table" w:styleId="PlainTable1">
    <w:name w:val="Plain Table 1"/>
    <w:basedOn w:val="TableNormal"/>
    <w:uiPriority w:val="41"/>
    <w:rsid w:val="002968F2"/>
    <w:rPr>
      <w:rFonts w:asciiTheme="minorHAnsi" w:eastAsiaTheme="minorHAnsi" w:hAnsiTheme="minorHAnsi" w:cstheme="minorBidi"/>
      <w:color w:val="404040" w:themeColor="text1" w:themeTint="BF"/>
      <w:lang w:val="en-US" w:eastAsia="ja-JP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4F48F1C29A34AAEF752711CDBD1F3" ma:contentTypeVersion="6" ma:contentTypeDescription="Create a new document." ma:contentTypeScope="" ma:versionID="18e833c2270d0d9ac06ad71ede0f6250">
  <xsd:schema xmlns:xsd="http://www.w3.org/2001/XMLSchema" xmlns:xs="http://www.w3.org/2001/XMLSchema" xmlns:p="http://schemas.microsoft.com/office/2006/metadata/properties" xmlns:ns2="91ecd477-51f9-48ef-b213-a72352a9d981" xmlns:ns3="0206286f-6d78-4f4c-a375-d8ab1735bfa5" targetNamespace="http://schemas.microsoft.com/office/2006/metadata/properties" ma:root="true" ma:fieldsID="c6c332b90562de097c19f9d03472c2e0" ns2:_="" ns3:_="">
    <xsd:import namespace="91ecd477-51f9-48ef-b213-a72352a9d981"/>
    <xsd:import namespace="0206286f-6d78-4f4c-a375-d8ab1735b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d477-51f9-48ef-b213-a72352a9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6286f-6d78-4f4c-a375-d8ab1735b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077291-6D8F-484C-A0C7-ED29620BF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cd477-51f9-48ef-b213-a72352a9d981"/>
    <ds:schemaRef ds:uri="0206286f-6d78-4f4c-a375-d8ab1735b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EB4BE-7B86-4F81-9D4C-455269D88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9AA6A-8679-4F97-B4A9-8DF73D1F0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7F8B6-E656-4F69-8BE0-9C2B3E0C7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A997AB9-7F63-4F1E-B483-3F6B6BA3C4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Matt</dc:creator>
  <cp:keywords/>
  <dc:description/>
  <cp:lastModifiedBy>Beavan-Seymour, Kathryn</cp:lastModifiedBy>
  <cp:revision>35</cp:revision>
  <cp:lastPrinted>2012-08-10T10:21:00Z</cp:lastPrinted>
  <dcterms:created xsi:type="dcterms:W3CDTF">2025-06-03T10:54:00Z</dcterms:created>
  <dcterms:modified xsi:type="dcterms:W3CDTF">2025-06-03T11:40:00Z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0x010100D264F48F1C29A34AAEF752711CDBD1F3</vt:lpwstr>
  </property>
  <property fmtid="{D5CDD505-2E9C-101B-9397-08002B2CF9AE}" pid="4" name="Management_x0020_Hub_x0020_Document_x0020_Type">
    <vt:lpwstr>72</vt:lpwstr>
  </property>
</Properties>
</file>