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851" w:tblpY="325"/>
        <w:tblW w:w="9169" w:type="dxa"/>
        <w:tblLook w:val="04A0" w:firstRow="1" w:lastRow="0" w:firstColumn="1" w:lastColumn="0" w:noHBand="0" w:noVBand="1"/>
      </w:tblPr>
      <w:tblGrid>
        <w:gridCol w:w="9169"/>
      </w:tblGrid>
      <w:tr w:rsidR="00CE5D16" w:rsidRPr="00CE5D16" w14:paraId="0BC3DA54" w14:textId="77777777" w:rsidTr="00CE5D16">
        <w:trPr>
          <w:trHeight w:val="1515"/>
        </w:trPr>
        <w:tc>
          <w:tcPr>
            <w:tcW w:w="9169" w:type="dxa"/>
            <w:tcBorders>
              <w:top w:val="nil"/>
              <w:left w:val="nil"/>
              <w:bottom w:val="nil"/>
              <w:right w:val="nil"/>
            </w:tcBorders>
          </w:tcPr>
          <w:p w14:paraId="06E98B64"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Fonts w:cs="Arial"/>
                <w:sz w:val="24"/>
                <w:szCs w:val="24"/>
              </w:rPr>
              <w:t>PURPOSE AND RECOMMENDATION</w:t>
            </w:r>
          </w:p>
          <w:p w14:paraId="48951E78" w14:textId="77777777" w:rsidR="00CE5D16" w:rsidRPr="00CE5D16" w:rsidRDefault="00CE5D16" w:rsidP="00CE5D16">
            <w:pPr>
              <w:pStyle w:val="FrontCoverSubtitle"/>
              <w:framePr w:hSpace="0" w:wrap="auto" w:vAnchor="margin" w:hAnchor="text" w:yAlign="inline"/>
              <w:ind w:left="1080"/>
              <w:jc w:val="both"/>
              <w:rPr>
                <w:rFonts w:cs="Arial"/>
                <w:sz w:val="24"/>
                <w:szCs w:val="24"/>
              </w:rPr>
            </w:pPr>
          </w:p>
          <w:p w14:paraId="1BBEC2B4"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The purpose of this report is for information. There are no recommendations made requiring a decision.</w:t>
            </w:r>
          </w:p>
          <w:p w14:paraId="00403675" w14:textId="77777777" w:rsidR="00CE5D16" w:rsidRPr="00CE5D16" w:rsidRDefault="00CE5D16" w:rsidP="00CE5D16">
            <w:pPr>
              <w:pStyle w:val="ListParagraph"/>
              <w:rPr>
                <w:rFonts w:cs="Arial"/>
                <w:b/>
                <w:sz w:val="24"/>
                <w:szCs w:val="24"/>
              </w:rPr>
            </w:pPr>
          </w:p>
          <w:p w14:paraId="3A75C96C" w14:textId="77777777" w:rsidR="00CE5D16" w:rsidRPr="00CE5D16" w:rsidRDefault="00CE5D16" w:rsidP="00CE5D16">
            <w:pPr>
              <w:pStyle w:val="ListParagraph"/>
              <w:rPr>
                <w:rFonts w:cs="Arial"/>
                <w:b/>
                <w:sz w:val="24"/>
                <w:szCs w:val="24"/>
              </w:rPr>
            </w:pPr>
          </w:p>
          <w:p w14:paraId="53BD0070"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Fonts w:cs="Arial"/>
                <w:sz w:val="24"/>
                <w:szCs w:val="24"/>
              </w:rPr>
              <w:t>I</w:t>
            </w:r>
            <w:r w:rsidRPr="00CE5D16">
              <w:rPr>
                <w:rStyle w:val="IntenseEmphasis"/>
                <w:rFonts w:eastAsiaTheme="majorEastAsia" w:cs="Arial"/>
                <w:i w:val="0"/>
                <w:sz w:val="24"/>
                <w:szCs w:val="24"/>
              </w:rPr>
              <w:t>NTRODUCTION &amp; BACKGROUND</w:t>
            </w:r>
            <w:r w:rsidRPr="00CE5D16">
              <w:rPr>
                <w:rFonts w:cs="Arial"/>
                <w:sz w:val="24"/>
                <w:szCs w:val="24"/>
              </w:rPr>
              <w:t xml:space="preserve"> </w:t>
            </w:r>
          </w:p>
          <w:p w14:paraId="14C6A680"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23EE3FDD"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w:t>
            </w:r>
            <w:proofErr w:type="gramStart"/>
            <w:r w:rsidRPr="00CE5D16">
              <w:rPr>
                <w:rFonts w:cs="Arial"/>
                <w:b w:val="0"/>
                <w:color w:val="auto"/>
                <w:sz w:val="24"/>
                <w:szCs w:val="24"/>
              </w:rPr>
              <w:t>Medium Term</w:t>
            </w:r>
            <w:proofErr w:type="gramEnd"/>
            <w:r w:rsidRPr="00CE5D16">
              <w:rPr>
                <w:rFonts w:cs="Arial"/>
                <w:b w:val="0"/>
                <w:color w:val="auto"/>
                <w:sz w:val="24"/>
                <w:szCs w:val="24"/>
              </w:rPr>
              <w:t xml:space="preserve"> Financial Plan 2026/27 – 2030/31 (MTFP) was presented by the Police &amp; Crime Commissioner (the Commissioner) to the Police &amp; Crime Panel meeting on 30</w:t>
            </w:r>
            <w:r w:rsidRPr="00CE5D16">
              <w:rPr>
                <w:rFonts w:cs="Arial"/>
                <w:b w:val="0"/>
                <w:color w:val="auto"/>
                <w:sz w:val="24"/>
                <w:szCs w:val="24"/>
                <w:vertAlign w:val="superscript"/>
              </w:rPr>
              <w:t>th</w:t>
            </w:r>
            <w:r w:rsidRPr="00CE5D16">
              <w:rPr>
                <w:rFonts w:cs="Arial"/>
                <w:b w:val="0"/>
                <w:color w:val="auto"/>
                <w:sz w:val="24"/>
                <w:szCs w:val="24"/>
              </w:rPr>
              <w:t xml:space="preserve"> January 2025 and is summarised in Annex 1.  For the 2026/27 financial year the MTFP showed a projected budgetary requirement of £202.7m against approved funding of £196.6m, resulting in a £6.1m deficit.  Savings of £0.7m had already been identified, leaving £5.4m still to cover from either further savings or reserves utilisation.  The net projected surplus at 2030/31 was £0.1m. </w:t>
            </w:r>
          </w:p>
          <w:p w14:paraId="0614C014"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65197AFB"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Further cost pressures, income, and funding adjustments have occurred since 30</w:t>
            </w:r>
            <w:r w:rsidRPr="00CE5D16">
              <w:rPr>
                <w:rFonts w:cs="Arial"/>
                <w:b w:val="0"/>
                <w:color w:val="auto"/>
                <w:sz w:val="24"/>
                <w:szCs w:val="24"/>
                <w:vertAlign w:val="superscript"/>
              </w:rPr>
              <w:t>th</w:t>
            </w:r>
            <w:r w:rsidRPr="00CE5D16">
              <w:rPr>
                <w:rFonts w:cs="Arial"/>
                <w:b w:val="0"/>
                <w:color w:val="auto"/>
                <w:sz w:val="24"/>
                <w:szCs w:val="24"/>
              </w:rPr>
              <w:t xml:space="preserve"> January 2026, as they do every year.  Typically, these additional costs are managed from non-recurrent savings in that financial year and include any recurring costs in the next round of budget setting in October each year.  The MTFP is also updated between </w:t>
            </w:r>
            <w:proofErr w:type="gramStart"/>
            <w:r w:rsidRPr="00CE5D16">
              <w:rPr>
                <w:rFonts w:cs="Arial"/>
                <w:b w:val="0"/>
                <w:color w:val="auto"/>
                <w:sz w:val="24"/>
                <w:szCs w:val="24"/>
              </w:rPr>
              <w:t>on</w:t>
            </w:r>
            <w:proofErr w:type="gramEnd"/>
            <w:r w:rsidRPr="00CE5D16">
              <w:rPr>
                <w:rFonts w:cs="Arial"/>
                <w:b w:val="0"/>
                <w:color w:val="auto"/>
                <w:sz w:val="24"/>
                <w:szCs w:val="24"/>
              </w:rPr>
              <w:t xml:space="preserve"> May/June each year to reflect the final budget book position and new funding/income and expenditure amendments. </w:t>
            </w:r>
          </w:p>
          <w:p w14:paraId="1D8FE679" w14:textId="77777777" w:rsidR="00CE5D16" w:rsidRPr="00CE5D16" w:rsidRDefault="00CE5D16" w:rsidP="00CE5D16">
            <w:pPr>
              <w:pStyle w:val="FrontCoverSubtitle"/>
              <w:framePr w:hSpace="0" w:wrap="auto" w:vAnchor="margin" w:hAnchor="text" w:yAlign="inline"/>
              <w:ind w:left="360"/>
              <w:jc w:val="both"/>
              <w:rPr>
                <w:rFonts w:cs="Arial"/>
                <w:sz w:val="24"/>
                <w:szCs w:val="24"/>
              </w:rPr>
            </w:pPr>
          </w:p>
          <w:p w14:paraId="34896A07" w14:textId="77777777" w:rsidR="00CE5D16" w:rsidRPr="00CE5D16" w:rsidRDefault="00CE5D16" w:rsidP="00CE5D16">
            <w:pPr>
              <w:pStyle w:val="FrontCoverSubtitle"/>
              <w:framePr w:hSpace="0" w:wrap="auto" w:vAnchor="margin" w:hAnchor="text" w:yAlign="inline"/>
              <w:ind w:left="360"/>
              <w:jc w:val="both"/>
              <w:rPr>
                <w:rFonts w:cs="Arial"/>
                <w:sz w:val="24"/>
                <w:szCs w:val="24"/>
              </w:rPr>
            </w:pPr>
          </w:p>
          <w:p w14:paraId="16B55F9E"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Fonts w:cs="Arial"/>
                <w:sz w:val="24"/>
                <w:szCs w:val="24"/>
              </w:rPr>
              <w:t>ISS</w:t>
            </w:r>
            <w:r w:rsidRPr="00CE5D16">
              <w:rPr>
                <w:rStyle w:val="IntenseEmphasis"/>
                <w:rFonts w:eastAsiaTheme="majorEastAsia" w:cs="Arial"/>
                <w:i w:val="0"/>
                <w:sz w:val="24"/>
                <w:szCs w:val="24"/>
              </w:rPr>
              <w:t>UES FOR CONSIDERATION</w:t>
            </w:r>
          </w:p>
          <w:p w14:paraId="4721F868"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7D43769C" w14:textId="68B5D603"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MTFP update for May 2026 confirms the position </w:t>
            </w:r>
            <w:proofErr w:type="gramStart"/>
            <w:r w:rsidRPr="00CE5D16">
              <w:rPr>
                <w:rFonts w:cs="Arial"/>
                <w:b w:val="0"/>
                <w:color w:val="auto"/>
                <w:sz w:val="24"/>
                <w:szCs w:val="24"/>
              </w:rPr>
              <w:t>at</w:t>
            </w:r>
            <w:proofErr w:type="gramEnd"/>
            <w:r w:rsidRPr="00CE5D16">
              <w:rPr>
                <w:rFonts w:cs="Arial"/>
                <w:b w:val="0"/>
                <w:color w:val="auto"/>
                <w:sz w:val="24"/>
                <w:szCs w:val="24"/>
              </w:rPr>
              <w:t xml:space="preserve"> 29</w:t>
            </w:r>
            <w:r w:rsidRPr="00CE5D16">
              <w:rPr>
                <w:rFonts w:cs="Arial"/>
                <w:b w:val="0"/>
                <w:color w:val="auto"/>
                <w:sz w:val="24"/>
                <w:szCs w:val="24"/>
                <w:vertAlign w:val="superscript"/>
              </w:rPr>
              <w:t>th</w:t>
            </w:r>
            <w:r w:rsidRPr="00CE5D16">
              <w:rPr>
                <w:rFonts w:cs="Arial"/>
                <w:b w:val="0"/>
                <w:color w:val="auto"/>
                <w:sz w:val="24"/>
                <w:szCs w:val="24"/>
              </w:rPr>
              <w:t xml:space="preserve"> May 2026 and is shown in Annex 2.  This shows a net increase of £</w:t>
            </w:r>
            <w:r w:rsidR="004A5866">
              <w:rPr>
                <w:rFonts w:cs="Arial"/>
                <w:b w:val="0"/>
                <w:color w:val="auto"/>
                <w:sz w:val="24"/>
                <w:szCs w:val="24"/>
              </w:rPr>
              <w:t>1.9</w:t>
            </w:r>
            <w:r w:rsidRPr="00CE5D16">
              <w:rPr>
                <w:rFonts w:cs="Arial"/>
                <w:b w:val="0"/>
                <w:color w:val="auto"/>
                <w:sz w:val="24"/>
                <w:szCs w:val="24"/>
              </w:rPr>
              <w:t>m in the projected budgetary requirement to £204.7m, and a revised deficit after known savings and funding changes of £5.9m.  The updated net projected position at 2030/31 is now a deficit of £0.5m.</w:t>
            </w:r>
          </w:p>
          <w:p w14:paraId="202A2DCB"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0D2B869D" w14:textId="30E9F26F"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Significant work has been done to identify further budget savings which has resulted in reductions across Departmental budgets in February and March 2026.  These have been reflected in the £204.7m revised budget, and the 2026/27 Budget Book internally published in April 2026.  A reconciliation of the net increase of £</w:t>
            </w:r>
            <w:r w:rsidR="004A5866">
              <w:rPr>
                <w:rFonts w:cs="Arial"/>
                <w:b w:val="0"/>
                <w:color w:val="auto"/>
                <w:sz w:val="24"/>
                <w:szCs w:val="24"/>
              </w:rPr>
              <w:t>1.9</w:t>
            </w:r>
            <w:r w:rsidRPr="00CE5D16">
              <w:rPr>
                <w:rFonts w:cs="Arial"/>
                <w:b w:val="0"/>
                <w:color w:val="auto"/>
                <w:sz w:val="24"/>
                <w:szCs w:val="24"/>
              </w:rPr>
              <w:t xml:space="preserve">m is provided in Annex 3. </w:t>
            </w:r>
          </w:p>
          <w:p w14:paraId="59D7DB8C" w14:textId="77777777" w:rsidR="00CE5D16" w:rsidRPr="00CE5D16" w:rsidRDefault="00CE5D16" w:rsidP="00CE5D16">
            <w:pPr>
              <w:pStyle w:val="ListParagraph"/>
              <w:rPr>
                <w:rFonts w:cs="Arial"/>
                <w:b/>
                <w:sz w:val="24"/>
                <w:szCs w:val="24"/>
              </w:rPr>
            </w:pPr>
          </w:p>
          <w:p w14:paraId="490E71A3" w14:textId="1F724956"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main additional </w:t>
            </w:r>
            <w:r w:rsidR="008A353C">
              <w:rPr>
                <w:rFonts w:cs="Arial"/>
                <w:b w:val="0"/>
                <w:color w:val="auto"/>
                <w:sz w:val="24"/>
                <w:szCs w:val="24"/>
              </w:rPr>
              <w:t xml:space="preserve">funding </w:t>
            </w:r>
            <w:r w:rsidR="00E57A80">
              <w:rPr>
                <w:rFonts w:cs="Arial"/>
                <w:b w:val="0"/>
                <w:color w:val="auto"/>
                <w:sz w:val="24"/>
                <w:szCs w:val="24"/>
              </w:rPr>
              <w:t>reductions</w:t>
            </w:r>
            <w:r w:rsidR="008A353C">
              <w:rPr>
                <w:rFonts w:cs="Arial"/>
                <w:b w:val="0"/>
                <w:color w:val="auto"/>
                <w:sz w:val="24"/>
                <w:szCs w:val="24"/>
              </w:rPr>
              <w:t xml:space="preserve"> and </w:t>
            </w:r>
            <w:r w:rsidRPr="00CE5D16">
              <w:rPr>
                <w:rFonts w:cs="Arial"/>
                <w:b w:val="0"/>
                <w:color w:val="auto"/>
                <w:sz w:val="24"/>
                <w:szCs w:val="24"/>
              </w:rPr>
              <w:t xml:space="preserve">cost pressures total £5.7m and are: </w:t>
            </w:r>
          </w:p>
          <w:p w14:paraId="4A2A43A5"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5271EB14"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r w:rsidRPr="00CE5D16">
              <w:rPr>
                <w:rFonts w:cs="Arial"/>
                <w:b w:val="0"/>
                <w:color w:val="auto"/>
                <w:sz w:val="24"/>
                <w:szCs w:val="24"/>
                <w:u w:val="single"/>
              </w:rPr>
              <w:t>PUP Specific Grant Funding (£3.594m)</w:t>
            </w:r>
            <w:r w:rsidRPr="00CE5D16">
              <w:rPr>
                <w:rFonts w:cs="Arial"/>
                <w:b w:val="0"/>
                <w:color w:val="auto"/>
                <w:sz w:val="24"/>
                <w:szCs w:val="24"/>
              </w:rPr>
              <w:t xml:space="preserve"> – the Home Office has met </w:t>
            </w:r>
            <w:proofErr w:type="gramStart"/>
            <w:r w:rsidRPr="00CE5D16">
              <w:rPr>
                <w:rFonts w:cs="Arial"/>
                <w:b w:val="0"/>
                <w:color w:val="auto"/>
                <w:sz w:val="24"/>
                <w:szCs w:val="24"/>
              </w:rPr>
              <w:t>a number of</w:t>
            </w:r>
            <w:proofErr w:type="gramEnd"/>
            <w:r w:rsidRPr="00CE5D16">
              <w:rPr>
                <w:rFonts w:cs="Arial"/>
                <w:b w:val="0"/>
                <w:color w:val="auto"/>
                <w:sz w:val="24"/>
                <w:szCs w:val="24"/>
              </w:rPr>
              <w:t xml:space="preserve"> adjustments to specific grant funding between the Draft Police Settlement issued in December 2025 and the Final Police Settlement confirmed in March 2026. This resulted in the recurring Operation Uplift </w:t>
            </w:r>
            <w:r w:rsidRPr="00CE5D16">
              <w:rPr>
                <w:rFonts w:cs="Arial"/>
                <w:b w:val="0"/>
                <w:color w:val="auto"/>
                <w:sz w:val="24"/>
                <w:szCs w:val="24"/>
              </w:rPr>
              <w:lastRenderedPageBreak/>
              <w:t xml:space="preserve">Grant of £3.6m being added to the core Police Grant as a reclassification of recurrent funding. </w:t>
            </w:r>
          </w:p>
          <w:p w14:paraId="77544BCF" w14:textId="77777777" w:rsidR="00CE5D16" w:rsidRPr="00CE5D16" w:rsidRDefault="00CE5D16" w:rsidP="00CE5D16">
            <w:pPr>
              <w:pStyle w:val="FrontCoverSubtitle"/>
              <w:framePr w:hSpace="0" w:wrap="auto" w:vAnchor="margin" w:hAnchor="text" w:yAlign="inline"/>
              <w:jc w:val="both"/>
              <w:rPr>
                <w:rFonts w:cs="Arial"/>
                <w:b w:val="0"/>
                <w:color w:val="auto"/>
                <w:sz w:val="24"/>
                <w:szCs w:val="24"/>
              </w:rPr>
            </w:pPr>
          </w:p>
          <w:p w14:paraId="77ED3377"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r w:rsidRPr="00CE5D16">
              <w:rPr>
                <w:rFonts w:cs="Arial"/>
                <w:b w:val="0"/>
                <w:color w:val="auto"/>
                <w:sz w:val="24"/>
                <w:szCs w:val="24"/>
                <w:u w:val="single"/>
              </w:rPr>
              <w:t>Operation Uplift Top Up Grant (£1.106m)</w:t>
            </w:r>
            <w:r w:rsidRPr="00CE5D16">
              <w:rPr>
                <w:rFonts w:cs="Arial"/>
                <w:b w:val="0"/>
                <w:color w:val="auto"/>
                <w:sz w:val="24"/>
                <w:szCs w:val="24"/>
              </w:rPr>
              <w:t xml:space="preserve"> - The Home Office have combined the Operation Uplift Top Up specific grant that funds 21 additional officers in Force, with funding for the Neighbourhood Policing Guarantee into a single grant. The Home Office also changed the basis of calculating the Top Up grant from a specific amount per officer to an amount based on the police funding formula, which resulted in a £74k drop in funding for Gwent.  This ‘cost’ of £1.1m is therefore offset by the Neighbourhood Policing Grant funding for Phases 1 and 2 below. </w:t>
            </w:r>
          </w:p>
          <w:p w14:paraId="61DC5264"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5C51B166"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r w:rsidRPr="00CE5D16">
              <w:rPr>
                <w:rFonts w:cs="Arial"/>
                <w:b w:val="0"/>
                <w:color w:val="auto"/>
                <w:sz w:val="24"/>
                <w:szCs w:val="24"/>
                <w:u w:val="single"/>
              </w:rPr>
              <w:t>Neighbourhood Policing Guarantee Phase 2 (£1.0m)</w:t>
            </w:r>
            <w:r w:rsidRPr="00CE5D16">
              <w:rPr>
                <w:rFonts w:cs="Arial"/>
                <w:b w:val="0"/>
                <w:color w:val="auto"/>
                <w:sz w:val="24"/>
                <w:szCs w:val="24"/>
              </w:rPr>
              <w:t xml:space="preserve"> – The Home Office confirmed in March 2026 that a further increase of 18 posts was required as part of Phase 2. This reflects the estimated cost for these additional posts. </w:t>
            </w:r>
          </w:p>
          <w:p w14:paraId="450F858C"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7F83307C" w14:textId="61B95088"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Offsetting the</w:t>
            </w:r>
            <w:r w:rsidR="00E57A80">
              <w:rPr>
                <w:rFonts w:cs="Arial"/>
                <w:b w:val="0"/>
                <w:color w:val="auto"/>
                <w:sz w:val="24"/>
                <w:szCs w:val="24"/>
              </w:rPr>
              <w:t xml:space="preserve"> above </w:t>
            </w:r>
            <w:r w:rsidRPr="00CE5D16">
              <w:rPr>
                <w:rFonts w:cs="Arial"/>
                <w:b w:val="0"/>
                <w:color w:val="auto"/>
                <w:sz w:val="24"/>
                <w:szCs w:val="24"/>
              </w:rPr>
              <w:t xml:space="preserve">pressures are the following </w:t>
            </w:r>
            <w:r w:rsidR="00E57A80">
              <w:rPr>
                <w:rFonts w:cs="Arial"/>
                <w:b w:val="0"/>
                <w:color w:val="auto"/>
                <w:sz w:val="24"/>
                <w:szCs w:val="24"/>
              </w:rPr>
              <w:t>funding increase</w:t>
            </w:r>
            <w:r w:rsidRPr="00CE5D16">
              <w:rPr>
                <w:rFonts w:cs="Arial"/>
                <w:b w:val="0"/>
                <w:color w:val="auto"/>
                <w:sz w:val="24"/>
                <w:szCs w:val="24"/>
              </w:rPr>
              <w:t>s totalling £</w:t>
            </w:r>
            <w:r w:rsidR="00E57A80">
              <w:rPr>
                <w:rFonts w:cs="Arial"/>
                <w:b w:val="0"/>
                <w:color w:val="auto"/>
                <w:sz w:val="24"/>
                <w:szCs w:val="24"/>
              </w:rPr>
              <w:t>5.2</w:t>
            </w:r>
            <w:r w:rsidRPr="00CE5D16">
              <w:rPr>
                <w:rFonts w:cs="Arial"/>
                <w:b w:val="0"/>
                <w:color w:val="auto"/>
                <w:sz w:val="24"/>
                <w:szCs w:val="24"/>
              </w:rPr>
              <w:t xml:space="preserve">m: </w:t>
            </w:r>
          </w:p>
          <w:p w14:paraId="66E80313"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6DCADDD2"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r w:rsidRPr="00CE5D16">
              <w:rPr>
                <w:rFonts w:cs="Arial"/>
                <w:b w:val="0"/>
                <w:color w:val="auto"/>
                <w:sz w:val="24"/>
                <w:szCs w:val="24"/>
                <w:u w:val="single"/>
              </w:rPr>
              <w:t>Neighbourhood Policing Grant (£3.755m)</w:t>
            </w:r>
            <w:r w:rsidRPr="00CE5D16">
              <w:rPr>
                <w:rFonts w:cs="Arial"/>
                <w:b w:val="0"/>
                <w:color w:val="auto"/>
                <w:sz w:val="24"/>
                <w:szCs w:val="24"/>
              </w:rPr>
              <w:t xml:space="preserve"> – The Force received and spent £2.053m in specific grant funding in 2025/26 for Phase 1 of the Neighbourhood Policing Guarantee. As noted above the Operation Uplift Top Up grant was recalculated and the £1.106m now forms part of the Neighbourhood Policing Grant. The Home Office confirmed in March 2026 that the total Neighbourhood Policing Grant for Phases 1 and 2 for the Force is £3.755m. After the taking the reclassification of the Top Up grant into account, this gives an overall increase in funding of £0.596m against estimated costs of £1.0m for the additional 18 posts required as part of Phase 2, resulting in a full year difference of £0.404m that the Force will have to manage locally.  </w:t>
            </w:r>
          </w:p>
          <w:p w14:paraId="1AACAD0A"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6D7713E6" w14:textId="1A83B94E"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r w:rsidRPr="00CE5D16">
              <w:rPr>
                <w:rFonts w:cs="Arial"/>
                <w:b w:val="0"/>
                <w:color w:val="auto"/>
                <w:sz w:val="24"/>
                <w:szCs w:val="24"/>
                <w:u w:val="single"/>
              </w:rPr>
              <w:t>Central Government Funding (£1.4</w:t>
            </w:r>
            <w:r w:rsidR="001E638B">
              <w:rPr>
                <w:rFonts w:cs="Arial"/>
                <w:b w:val="0"/>
                <w:color w:val="auto"/>
                <w:sz w:val="24"/>
                <w:szCs w:val="24"/>
                <w:u w:val="single"/>
              </w:rPr>
              <w:t>6</w:t>
            </w:r>
            <w:r w:rsidRPr="00CE5D16">
              <w:rPr>
                <w:rFonts w:cs="Arial"/>
                <w:b w:val="0"/>
                <w:color w:val="auto"/>
                <w:sz w:val="24"/>
                <w:szCs w:val="24"/>
                <w:u w:val="single"/>
              </w:rPr>
              <w:t>1m)</w:t>
            </w:r>
            <w:r w:rsidRPr="00CE5D16">
              <w:rPr>
                <w:rFonts w:cs="Arial"/>
                <w:b w:val="0"/>
                <w:color w:val="auto"/>
                <w:sz w:val="24"/>
                <w:szCs w:val="24"/>
              </w:rPr>
              <w:t xml:space="preserve"> – the reclassification of the Operation Uplift grant and the confirmation of final Police Grant, Revenue Support Grant and Non-Domestic Rates funding figures in the Final Police Settlement, confirmed an increase in central government funding of £1.4</w:t>
            </w:r>
            <w:r w:rsidR="001E638B">
              <w:rPr>
                <w:rFonts w:cs="Arial"/>
                <w:b w:val="0"/>
                <w:color w:val="auto"/>
                <w:sz w:val="24"/>
                <w:szCs w:val="24"/>
              </w:rPr>
              <w:t>6</w:t>
            </w:r>
            <w:r w:rsidRPr="00CE5D16">
              <w:rPr>
                <w:rFonts w:cs="Arial"/>
                <w:b w:val="0"/>
                <w:color w:val="auto"/>
                <w:sz w:val="24"/>
                <w:szCs w:val="24"/>
              </w:rPr>
              <w:t xml:space="preserve">1m. </w:t>
            </w:r>
          </w:p>
          <w:p w14:paraId="0C435266"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0DBCBFA4" w14:textId="2C955463"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The net impact of these costs and funding changes has resulted in a net cost increase of £0.49</w:t>
            </w:r>
            <w:r w:rsidR="001E638B">
              <w:rPr>
                <w:rFonts w:cs="Arial"/>
                <w:b w:val="0"/>
                <w:color w:val="auto"/>
                <w:sz w:val="24"/>
                <w:szCs w:val="24"/>
              </w:rPr>
              <w:t>0</w:t>
            </w:r>
            <w:r w:rsidRPr="00CE5D16">
              <w:rPr>
                <w:rFonts w:cs="Arial"/>
                <w:b w:val="0"/>
                <w:color w:val="auto"/>
                <w:sz w:val="24"/>
                <w:szCs w:val="24"/>
              </w:rPr>
              <w:t xml:space="preserve">m, attributable primarily to the Neighbourhood Policing Guarantee costs and funding. The net projected deficit for 2026/27 is now £5.885m. </w:t>
            </w:r>
            <w:proofErr w:type="gramStart"/>
            <w:r w:rsidRPr="00CE5D16">
              <w:rPr>
                <w:rFonts w:cs="Arial"/>
                <w:b w:val="0"/>
                <w:color w:val="auto"/>
                <w:sz w:val="24"/>
                <w:szCs w:val="24"/>
              </w:rPr>
              <w:t>In order to</w:t>
            </w:r>
            <w:proofErr w:type="gramEnd"/>
            <w:r w:rsidRPr="00CE5D16">
              <w:rPr>
                <w:rFonts w:cs="Arial"/>
                <w:b w:val="0"/>
                <w:color w:val="auto"/>
                <w:sz w:val="24"/>
                <w:szCs w:val="24"/>
              </w:rPr>
              <w:t xml:space="preserve"> close this updated deficit position, </w:t>
            </w:r>
            <w:proofErr w:type="gramStart"/>
            <w:r w:rsidRPr="00CE5D16">
              <w:rPr>
                <w:rFonts w:cs="Arial"/>
                <w:b w:val="0"/>
                <w:color w:val="auto"/>
                <w:sz w:val="24"/>
                <w:szCs w:val="24"/>
              </w:rPr>
              <w:t>a number of</w:t>
            </w:r>
            <w:proofErr w:type="gramEnd"/>
            <w:r w:rsidRPr="00CE5D16">
              <w:rPr>
                <w:rFonts w:cs="Arial"/>
                <w:b w:val="0"/>
                <w:color w:val="auto"/>
                <w:sz w:val="24"/>
                <w:szCs w:val="24"/>
              </w:rPr>
              <w:t xml:space="preserve"> actions are being taken to drive out further budget and commissioning savings, </w:t>
            </w:r>
            <w:proofErr w:type="gramStart"/>
            <w:r w:rsidRPr="00CE5D16">
              <w:rPr>
                <w:rFonts w:cs="Arial"/>
                <w:b w:val="0"/>
                <w:color w:val="auto"/>
                <w:sz w:val="24"/>
                <w:szCs w:val="24"/>
              </w:rPr>
              <w:t>and also</w:t>
            </w:r>
            <w:proofErr w:type="gramEnd"/>
            <w:r w:rsidRPr="00CE5D16">
              <w:rPr>
                <w:rFonts w:cs="Arial"/>
                <w:b w:val="0"/>
                <w:color w:val="auto"/>
                <w:sz w:val="24"/>
                <w:szCs w:val="24"/>
              </w:rPr>
              <w:t xml:space="preserve"> to reflect external economic changes. </w:t>
            </w:r>
          </w:p>
          <w:p w14:paraId="1D10ACFB" w14:textId="77777777" w:rsidR="00CE5D16" w:rsidRPr="00CE5D16" w:rsidRDefault="00CE5D16" w:rsidP="00CE5D16">
            <w:pPr>
              <w:pStyle w:val="ListParagraph"/>
              <w:rPr>
                <w:rFonts w:cs="Arial"/>
                <w:b/>
                <w:sz w:val="24"/>
                <w:szCs w:val="24"/>
              </w:rPr>
            </w:pPr>
          </w:p>
          <w:p w14:paraId="23C8C7B7"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Firstly, the budget includes interest costs of £1.2m for borrowing and a further 0.6m of minimum revenue provision to fund the Capital Programme and interest and capital repayments on borrowing.  The revenue contribution to the Capital Programme of £7.15m continues to fund the </w:t>
            </w:r>
            <w:r w:rsidRPr="00CE5D16">
              <w:rPr>
                <w:rFonts w:cs="Arial"/>
                <w:b w:val="0"/>
                <w:color w:val="auto"/>
                <w:sz w:val="24"/>
                <w:szCs w:val="24"/>
              </w:rPr>
              <w:lastRenderedPageBreak/>
              <w:t xml:space="preserve">replacement of short-term assets, and revenue budgets continue to be used for longer term refurbishment costs and minor upgrades to buildings.  The Commissioner continues to save £150k for every month that borrowing isn’t undertaken. This is a postponement of the cost rather than a recurring saving and will be clarified further with updates to the Capital Programme within the overall Estate Strategy. </w:t>
            </w:r>
          </w:p>
          <w:p w14:paraId="68A2899A"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3E85B5C8"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Productivity and Efficiency Working Group and SIB continue to monitor savings as part of the Finance Tracker document, which is considered monthly by SIB as to when those savings crystallise.  This document has recognised </w:t>
            </w:r>
            <w:proofErr w:type="gramStart"/>
            <w:r w:rsidRPr="00CE5D16">
              <w:rPr>
                <w:rFonts w:cs="Arial"/>
                <w:b w:val="0"/>
                <w:color w:val="auto"/>
                <w:sz w:val="24"/>
                <w:szCs w:val="24"/>
              </w:rPr>
              <w:t>a number of</w:t>
            </w:r>
            <w:proofErr w:type="gramEnd"/>
            <w:r w:rsidRPr="00CE5D16">
              <w:rPr>
                <w:rFonts w:cs="Arial"/>
                <w:b w:val="0"/>
                <w:color w:val="auto"/>
                <w:sz w:val="24"/>
                <w:szCs w:val="24"/>
              </w:rPr>
              <w:t xml:space="preserve"> savings already reflected in the updated budget and assesses the likelihood of delivery for each potential saving from the Change Programme.</w:t>
            </w:r>
          </w:p>
          <w:p w14:paraId="2A9B9585"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2DC3DD51"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2026/27 budget assumes a vacancy factor totalling £2.0m to reflect the time required to recruit into Police Officer and Police Staff posts. In the National Police Chiefs’ Council’s Financial Resilience Surveys, which use data from MTFPs, the Force’s vacancy factor remains at the lower end of the range used by Forces across England and Wales. The level of the ongoing vacancy factor will form part of the budget assumptions for the 2027/28 budget setting process. </w:t>
            </w:r>
          </w:p>
          <w:p w14:paraId="4E0E49A3" w14:textId="77777777" w:rsidR="00CE5D16" w:rsidRPr="00CE5D16" w:rsidRDefault="00CE5D16" w:rsidP="00CE5D16">
            <w:pPr>
              <w:pStyle w:val="FrontCoverSubtitle"/>
              <w:framePr w:hSpace="0" w:wrap="auto" w:vAnchor="margin" w:hAnchor="text" w:yAlign="inline"/>
              <w:jc w:val="both"/>
              <w:rPr>
                <w:rFonts w:cs="Arial"/>
                <w:b w:val="0"/>
                <w:color w:val="auto"/>
                <w:sz w:val="24"/>
                <w:szCs w:val="24"/>
              </w:rPr>
            </w:pPr>
          </w:p>
          <w:p w14:paraId="152BCA8F"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Capital Programme projections in the MTFP </w:t>
            </w:r>
            <w:proofErr w:type="gramStart"/>
            <w:r w:rsidRPr="00CE5D16">
              <w:rPr>
                <w:rFonts w:cs="Arial"/>
                <w:b w:val="0"/>
                <w:color w:val="auto"/>
                <w:sz w:val="24"/>
                <w:szCs w:val="24"/>
              </w:rPr>
              <w:t>at</w:t>
            </w:r>
            <w:proofErr w:type="gramEnd"/>
            <w:r w:rsidRPr="00CE5D16">
              <w:rPr>
                <w:rFonts w:cs="Arial"/>
                <w:b w:val="0"/>
                <w:color w:val="auto"/>
                <w:sz w:val="24"/>
                <w:szCs w:val="24"/>
              </w:rPr>
              <w:t xml:space="preserve"> January 2026 totalled £11.7m for 2025/26 funded by reserves, revenue to capital contributions and £4m of borrowing.  The budget will be revised following the finalisation of the Estate Strategy and agreement on the forward Capital Programme.</w:t>
            </w:r>
          </w:p>
          <w:p w14:paraId="4C068958"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31CFD40E"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Taking a full year saving on borrowing interest and capital repayment costs, and assuming the realisation of the projected benefits from the Change Programme above, these two elements alone would close nearly £2.5m of the updated deficit.  Work continues to identify recurring savings and cost avoidance from service improvements, centrally controlled costs, procurement frameworks, and additional income generation opportunities in preparation for the 2027/28 budget setting process. </w:t>
            </w:r>
          </w:p>
          <w:p w14:paraId="0D06E3D2" w14:textId="77777777" w:rsidR="00CE5D16" w:rsidRPr="00CE5D16" w:rsidRDefault="00CE5D16" w:rsidP="00CE5D16">
            <w:pPr>
              <w:pStyle w:val="FrontCoverSubtitle"/>
              <w:framePr w:hSpace="0" w:wrap="auto" w:vAnchor="margin" w:hAnchor="text" w:yAlign="inline"/>
              <w:ind w:left="1080"/>
              <w:jc w:val="both"/>
              <w:rPr>
                <w:rFonts w:cs="Arial"/>
                <w:sz w:val="24"/>
                <w:szCs w:val="24"/>
              </w:rPr>
            </w:pPr>
          </w:p>
          <w:p w14:paraId="5C5EB4BF" w14:textId="77777777" w:rsidR="00CE5D16" w:rsidRPr="00CE5D16" w:rsidRDefault="00CE5D16" w:rsidP="00CE5D16">
            <w:pPr>
              <w:pStyle w:val="FrontCoverSubtitle"/>
              <w:framePr w:hSpace="0" w:wrap="auto" w:vAnchor="margin" w:hAnchor="text" w:yAlign="inline"/>
              <w:ind w:left="1080"/>
              <w:jc w:val="both"/>
              <w:rPr>
                <w:rFonts w:cs="Arial"/>
                <w:sz w:val="24"/>
                <w:szCs w:val="24"/>
              </w:rPr>
            </w:pPr>
          </w:p>
          <w:p w14:paraId="3848EBD6"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Fonts w:cs="Arial"/>
                <w:sz w:val="24"/>
                <w:szCs w:val="24"/>
              </w:rPr>
              <w:t>COLLABORATION</w:t>
            </w:r>
          </w:p>
          <w:p w14:paraId="608C5286"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0246BA19" w14:textId="77777777" w:rsidR="00CE5D16" w:rsidRPr="00CE5D16" w:rsidRDefault="00CE5D16" w:rsidP="00CE5D16">
            <w:pPr>
              <w:pStyle w:val="FrontCoverSubtitle"/>
              <w:framePr w:hSpace="0" w:wrap="auto" w:vAnchor="margin" w:hAnchor="text" w:yAlign="inline"/>
              <w:numPr>
                <w:ilvl w:val="1"/>
                <w:numId w:val="1"/>
              </w:numPr>
              <w:jc w:val="both"/>
              <w:rPr>
                <w:rFonts w:cs="Arial"/>
                <w:color w:val="auto"/>
                <w:sz w:val="24"/>
                <w:szCs w:val="24"/>
              </w:rPr>
            </w:pPr>
            <w:r w:rsidRPr="00CE5D16">
              <w:rPr>
                <w:rFonts w:cs="Arial"/>
                <w:b w:val="0"/>
                <w:color w:val="auto"/>
                <w:sz w:val="24"/>
                <w:szCs w:val="24"/>
              </w:rPr>
              <w:t xml:space="preserve">Noted above. </w:t>
            </w:r>
          </w:p>
          <w:p w14:paraId="6E5DF545" w14:textId="77777777" w:rsidR="00CE5D16" w:rsidRPr="00CE5D16" w:rsidRDefault="00CE5D16" w:rsidP="00CE5D16">
            <w:pPr>
              <w:pStyle w:val="FrontCoverSubtitle"/>
              <w:framePr w:hSpace="0" w:wrap="auto" w:vAnchor="margin" w:hAnchor="text" w:yAlign="inline"/>
              <w:jc w:val="both"/>
              <w:rPr>
                <w:rFonts w:cs="Arial"/>
                <w:sz w:val="24"/>
                <w:szCs w:val="24"/>
              </w:rPr>
            </w:pPr>
          </w:p>
          <w:p w14:paraId="25974E02" w14:textId="77777777" w:rsidR="00CE5D16" w:rsidRPr="00CE5D16" w:rsidRDefault="00CE5D16" w:rsidP="00CE5D16">
            <w:pPr>
              <w:pStyle w:val="FrontCoverSubtitle"/>
              <w:framePr w:hSpace="0" w:wrap="auto" w:vAnchor="margin" w:hAnchor="text" w:yAlign="inline"/>
              <w:jc w:val="both"/>
              <w:rPr>
                <w:rFonts w:cs="Arial"/>
                <w:sz w:val="24"/>
                <w:szCs w:val="24"/>
              </w:rPr>
            </w:pPr>
          </w:p>
          <w:p w14:paraId="38986989"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Fonts w:cs="Arial"/>
                <w:sz w:val="24"/>
                <w:szCs w:val="24"/>
              </w:rPr>
              <w:t>NEXT STEPS</w:t>
            </w:r>
          </w:p>
          <w:p w14:paraId="4A157932"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34D7577E" w14:textId="77777777" w:rsidR="00CE5D16" w:rsidRPr="00CE5D16" w:rsidRDefault="00CE5D16" w:rsidP="00CE5D16">
            <w:pPr>
              <w:pStyle w:val="FrontCoverSubtitle"/>
              <w:framePr w:hSpace="0" w:wrap="auto" w:vAnchor="margin" w:hAnchor="text" w:yAlign="inline"/>
              <w:numPr>
                <w:ilvl w:val="1"/>
                <w:numId w:val="1"/>
              </w:numPr>
              <w:jc w:val="both"/>
              <w:rPr>
                <w:rFonts w:cs="Arial"/>
                <w:color w:val="auto"/>
                <w:sz w:val="24"/>
                <w:szCs w:val="24"/>
              </w:rPr>
            </w:pPr>
            <w:r w:rsidRPr="00CE5D16">
              <w:rPr>
                <w:rFonts w:cs="Arial"/>
                <w:b w:val="0"/>
                <w:color w:val="auto"/>
                <w:sz w:val="24"/>
                <w:szCs w:val="24"/>
              </w:rPr>
              <w:t>The Force will continue to update the Finance Tracker reported to SIB to reflect known savings. Further financial updates when developing the MTFP 2027/28 – 2031/32 will be shared in due course, along with the Quarter 2 2026/27 financial position ahead of budget setting in October 2026.</w:t>
            </w:r>
          </w:p>
          <w:p w14:paraId="44445EEE"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0DFAA85B"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64196101"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FINANCIAL CONSIDERATIONS</w:t>
            </w:r>
          </w:p>
          <w:p w14:paraId="3CAB5B2D"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14D591D6" w14:textId="77777777" w:rsidR="00CE5D16" w:rsidRPr="00CE5D16" w:rsidRDefault="00CE5D16" w:rsidP="00CE5D16">
            <w:pPr>
              <w:pStyle w:val="FrontCoverSubtitle"/>
              <w:framePr w:hSpace="0" w:wrap="auto" w:vAnchor="margin" w:hAnchor="text" w:yAlign="inline"/>
              <w:numPr>
                <w:ilvl w:val="1"/>
                <w:numId w:val="1"/>
              </w:numPr>
              <w:jc w:val="both"/>
              <w:rPr>
                <w:rFonts w:cs="Arial"/>
                <w:color w:val="auto"/>
                <w:sz w:val="24"/>
                <w:szCs w:val="24"/>
              </w:rPr>
            </w:pPr>
            <w:r w:rsidRPr="00CE5D16">
              <w:rPr>
                <w:rFonts w:cs="Arial"/>
                <w:b w:val="0"/>
                <w:color w:val="auto"/>
                <w:sz w:val="24"/>
                <w:szCs w:val="24"/>
              </w:rPr>
              <w:t xml:space="preserve">Noted above. </w:t>
            </w:r>
          </w:p>
          <w:p w14:paraId="604872F7"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566F5EB9"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0991B5C1"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PERSONNEL CONSIDERATIONS</w:t>
            </w:r>
          </w:p>
          <w:p w14:paraId="35F658B9"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46B6801B" w14:textId="77777777" w:rsidR="00CE5D16" w:rsidRPr="00CE5D16" w:rsidRDefault="00CE5D16" w:rsidP="00CE5D16">
            <w:pPr>
              <w:pStyle w:val="FrontCoverSubtitle"/>
              <w:framePr w:hSpace="0" w:wrap="auto" w:vAnchor="margin" w:hAnchor="text" w:yAlign="inline"/>
              <w:numPr>
                <w:ilvl w:val="1"/>
                <w:numId w:val="1"/>
              </w:numPr>
              <w:jc w:val="both"/>
              <w:rPr>
                <w:rFonts w:cs="Arial"/>
                <w:color w:val="auto"/>
                <w:sz w:val="24"/>
                <w:szCs w:val="24"/>
              </w:rPr>
            </w:pPr>
            <w:r w:rsidRPr="00CE5D16">
              <w:rPr>
                <w:rFonts w:cs="Arial"/>
                <w:b w:val="0"/>
                <w:color w:val="auto"/>
                <w:sz w:val="24"/>
                <w:szCs w:val="24"/>
              </w:rPr>
              <w:t xml:space="preserve">Noted above. </w:t>
            </w:r>
          </w:p>
          <w:p w14:paraId="625D6FE9"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359B3143"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1DBD953C" w14:textId="77777777" w:rsidR="00CE5D16" w:rsidRPr="00CE5D16" w:rsidRDefault="00CE5D16" w:rsidP="00CE5D16">
            <w:pPr>
              <w:pStyle w:val="FrontCoverSubtitle"/>
              <w:framePr w:hSpace="0" w:wrap="auto" w:vAnchor="margin" w:hAnchor="text" w:yAlign="inline"/>
              <w:numPr>
                <w:ilvl w:val="0"/>
                <w:numId w:val="1"/>
              </w:numPr>
              <w:rPr>
                <w:rStyle w:val="IntenseEmphasis"/>
                <w:rFonts w:eastAsiaTheme="majorEastAsia" w:cs="Arial"/>
                <w:sz w:val="24"/>
                <w:szCs w:val="24"/>
              </w:rPr>
            </w:pPr>
            <w:r w:rsidRPr="00CE5D16">
              <w:rPr>
                <w:rStyle w:val="IntenseEmphasis"/>
                <w:rFonts w:eastAsiaTheme="majorEastAsia" w:cs="Arial"/>
                <w:i w:val="0"/>
                <w:sz w:val="24"/>
                <w:szCs w:val="24"/>
              </w:rPr>
              <w:t>LEGAL CONSIDERATIONS</w:t>
            </w:r>
          </w:p>
          <w:p w14:paraId="0D12D3A0" w14:textId="77777777" w:rsidR="00CE5D16" w:rsidRPr="00CE5D16" w:rsidRDefault="00CE5D16" w:rsidP="00CE5D16">
            <w:pPr>
              <w:pStyle w:val="FrontCoverSubtitle"/>
              <w:framePr w:hSpace="0" w:wrap="auto" w:vAnchor="margin" w:hAnchor="text" w:yAlign="inline"/>
              <w:ind w:left="1080"/>
              <w:jc w:val="both"/>
              <w:rPr>
                <w:rFonts w:cs="Arial"/>
                <w:color w:val="auto"/>
                <w:sz w:val="24"/>
                <w:szCs w:val="24"/>
              </w:rPr>
            </w:pPr>
          </w:p>
          <w:p w14:paraId="264D56C7" w14:textId="77777777" w:rsidR="00CE5D16" w:rsidRPr="00CE5D16" w:rsidRDefault="00CE5D16" w:rsidP="00CE5D16">
            <w:pPr>
              <w:pStyle w:val="FrontCoverSubtitle"/>
              <w:framePr w:hSpace="0" w:wrap="auto" w:vAnchor="margin" w:hAnchor="text" w:yAlign="inline"/>
              <w:numPr>
                <w:ilvl w:val="1"/>
                <w:numId w:val="1"/>
              </w:numPr>
              <w:jc w:val="both"/>
              <w:rPr>
                <w:rFonts w:cs="Arial"/>
                <w:color w:val="auto"/>
                <w:sz w:val="24"/>
                <w:szCs w:val="24"/>
              </w:rPr>
            </w:pPr>
            <w:r w:rsidRPr="00CE5D16">
              <w:rPr>
                <w:rFonts w:cs="Arial"/>
                <w:b w:val="0"/>
                <w:color w:val="auto"/>
                <w:sz w:val="24"/>
                <w:szCs w:val="24"/>
              </w:rPr>
              <w:t>No specific considerations arising from this report.</w:t>
            </w:r>
          </w:p>
          <w:p w14:paraId="0006C5DF"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1EE1AA9F" w14:textId="77777777" w:rsidR="00CE5D16" w:rsidRPr="00CE5D16" w:rsidRDefault="00CE5D16" w:rsidP="00CE5D16">
            <w:pPr>
              <w:pStyle w:val="FrontCoverSubtitle"/>
              <w:framePr w:hSpace="0" w:wrap="auto" w:vAnchor="margin" w:hAnchor="text" w:yAlign="inline"/>
              <w:ind w:left="360"/>
              <w:jc w:val="both"/>
              <w:rPr>
                <w:rFonts w:cs="Arial"/>
                <w:color w:val="auto"/>
                <w:sz w:val="24"/>
                <w:szCs w:val="24"/>
              </w:rPr>
            </w:pPr>
          </w:p>
          <w:p w14:paraId="525B487D"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EQUALITIES &amp; HUMAN RIGHTS CONSIDERATIONS</w:t>
            </w:r>
          </w:p>
          <w:p w14:paraId="12F8C9C4"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6D611C52"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This report has been considered against the general duty to promote equality, as stipulated under the Strategic Equality Plan and has been assessed not to discriminate against any </w:t>
            </w:r>
            <w:proofErr w:type="gramStart"/>
            <w:r w:rsidRPr="00CE5D16">
              <w:rPr>
                <w:rFonts w:cs="Arial"/>
                <w:b w:val="0"/>
                <w:color w:val="auto"/>
                <w:sz w:val="24"/>
                <w:szCs w:val="24"/>
              </w:rPr>
              <w:t>particular group</w:t>
            </w:r>
            <w:proofErr w:type="gramEnd"/>
            <w:r w:rsidRPr="00CE5D16">
              <w:rPr>
                <w:rFonts w:cs="Arial"/>
                <w:b w:val="0"/>
                <w:color w:val="auto"/>
                <w:sz w:val="24"/>
                <w:szCs w:val="24"/>
              </w:rPr>
              <w:t>.</w:t>
            </w:r>
          </w:p>
          <w:p w14:paraId="418877DD"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2B6B3FB7"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In preparing this report, consideration has been given to requirements of the Articles contained in the European Convention on Human Rights and the Human Rights Act 1998.</w:t>
            </w:r>
          </w:p>
          <w:p w14:paraId="4C780E92"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34D3CEA2"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3CAADD4A"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RISKS</w:t>
            </w:r>
          </w:p>
          <w:p w14:paraId="01F841D1"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2C01B1EA"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A specific risk on the financial position for 2026/27 has been added to the strategic risk register. </w:t>
            </w:r>
          </w:p>
          <w:p w14:paraId="58132052"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70CBD11D"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If the Capital Programme costs as they currently stand are fully realised by the end of 2026/27, this will result in further pressures on in-year revenue budgets or require borrowing. </w:t>
            </w:r>
          </w:p>
          <w:p w14:paraId="562231E1"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78E077C0"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Police Officer and Police Staff pay awards are subject to central negotiation by the UK Government.  There are indications of a 3.5% pay award for Police Officers will be recommended for 2026/27 which is higher than the 3.0% assumptions in the MTFP.  The final position on Police Staff pay awards is also yet to be confirmed but is expected to be at a similar level to Police Officers. This is a substantial increase and, while the UK Government have provided additional funding in the past, there remains a risk that any additional cost may have to be borne by the Commissioner and Force. </w:t>
            </w:r>
          </w:p>
          <w:p w14:paraId="565EF9FC" w14:textId="77777777" w:rsidR="00CE5D16" w:rsidRPr="00CE5D16" w:rsidRDefault="00CE5D16" w:rsidP="00CE5D16">
            <w:pPr>
              <w:pStyle w:val="ListParagraph"/>
              <w:rPr>
                <w:rFonts w:cs="Arial"/>
                <w:b/>
                <w:sz w:val="24"/>
                <w:szCs w:val="24"/>
              </w:rPr>
            </w:pPr>
          </w:p>
          <w:p w14:paraId="14A90E7E"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The financial impact on policing from the UK Government’s Sentencing Review and funding of the Neighbourhood Policing Guarantee beyond 2026/27 were identified in January 2026 as risks which were not budgeted </w:t>
            </w:r>
            <w:r w:rsidRPr="00CE5D16">
              <w:rPr>
                <w:rFonts w:cs="Arial"/>
                <w:b w:val="0"/>
                <w:color w:val="auto"/>
                <w:sz w:val="24"/>
                <w:szCs w:val="24"/>
              </w:rPr>
              <w:lastRenderedPageBreak/>
              <w:t xml:space="preserve">for. this remains the case and the operational impact of the Sentencing Review is also being separately monitored. In addition, the budget does not include any local costs associated with Police Reform given the very early stages of this programme. These risks remain and further assessments of any known financial impact will be made as part of 2027/28 budget setting. </w:t>
            </w:r>
          </w:p>
          <w:p w14:paraId="349DB85D" w14:textId="77777777" w:rsidR="00CE5D16" w:rsidRPr="00CE5D16" w:rsidRDefault="00CE5D16" w:rsidP="00CE5D16">
            <w:pPr>
              <w:pStyle w:val="FrontCoverSubtitle"/>
              <w:framePr w:hSpace="0" w:wrap="auto" w:vAnchor="margin" w:hAnchor="text" w:yAlign="inline"/>
              <w:jc w:val="both"/>
              <w:rPr>
                <w:rFonts w:cs="Arial"/>
                <w:sz w:val="24"/>
                <w:szCs w:val="24"/>
              </w:rPr>
            </w:pPr>
          </w:p>
          <w:p w14:paraId="21B6914B" w14:textId="77777777" w:rsidR="00CE5D16" w:rsidRPr="00CE5D16" w:rsidRDefault="00CE5D16" w:rsidP="00CE5D16">
            <w:pPr>
              <w:pStyle w:val="FrontCoverSubtitle"/>
              <w:framePr w:hSpace="0" w:wrap="auto" w:vAnchor="margin" w:hAnchor="text" w:yAlign="inline"/>
              <w:jc w:val="both"/>
              <w:rPr>
                <w:rFonts w:cs="Arial"/>
                <w:sz w:val="24"/>
                <w:szCs w:val="24"/>
              </w:rPr>
            </w:pPr>
          </w:p>
          <w:p w14:paraId="73F0A4FD"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PUBLIC INTEREST</w:t>
            </w:r>
          </w:p>
          <w:p w14:paraId="71F66755"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14E7179A"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This is a </w:t>
            </w:r>
            <w:proofErr w:type="gramStart"/>
            <w:r w:rsidRPr="00CE5D16">
              <w:rPr>
                <w:rFonts w:cs="Arial"/>
                <w:b w:val="0"/>
                <w:color w:val="auto"/>
                <w:sz w:val="24"/>
                <w:szCs w:val="24"/>
              </w:rPr>
              <w:t>Public</w:t>
            </w:r>
            <w:proofErr w:type="gramEnd"/>
            <w:r w:rsidRPr="00CE5D16">
              <w:rPr>
                <w:rFonts w:cs="Arial"/>
                <w:b w:val="0"/>
                <w:color w:val="auto"/>
                <w:sz w:val="24"/>
                <w:szCs w:val="24"/>
              </w:rPr>
              <w:t xml:space="preserve"> report.</w:t>
            </w:r>
          </w:p>
          <w:p w14:paraId="00811BD5" w14:textId="77777777" w:rsidR="00CE5D16" w:rsidRPr="00CE5D16" w:rsidRDefault="00CE5D16" w:rsidP="00CE5D16">
            <w:pPr>
              <w:pStyle w:val="ListParagraph"/>
              <w:rPr>
                <w:rFonts w:cs="Arial"/>
                <w:b/>
                <w:sz w:val="24"/>
                <w:szCs w:val="24"/>
              </w:rPr>
            </w:pPr>
          </w:p>
          <w:p w14:paraId="74156649" w14:textId="77777777" w:rsidR="00CE5D16" w:rsidRPr="00CE5D16" w:rsidRDefault="00CE5D16" w:rsidP="00CE5D16">
            <w:pPr>
              <w:pStyle w:val="ListParagraph"/>
              <w:rPr>
                <w:rFonts w:cs="Arial"/>
                <w:b/>
                <w:sz w:val="24"/>
                <w:szCs w:val="24"/>
              </w:rPr>
            </w:pPr>
          </w:p>
          <w:p w14:paraId="7401E94A" w14:textId="77777777" w:rsidR="00CE5D16" w:rsidRPr="00CE5D16" w:rsidRDefault="00CE5D16" w:rsidP="00CE5D16">
            <w:pPr>
              <w:pStyle w:val="FrontCoverSubtitle"/>
              <w:framePr w:hSpace="0" w:wrap="auto" w:vAnchor="margin" w:hAnchor="text" w:yAlign="inline"/>
              <w:numPr>
                <w:ilvl w:val="0"/>
                <w:numId w:val="1"/>
              </w:numPr>
              <w:rPr>
                <w:rStyle w:val="IntenseEmphasis"/>
                <w:rFonts w:cs="Arial"/>
                <w:i w:val="0"/>
                <w:iCs w:val="0"/>
                <w:color w:val="243569"/>
                <w:sz w:val="24"/>
                <w:szCs w:val="24"/>
              </w:rPr>
            </w:pPr>
            <w:r w:rsidRPr="00CE5D16">
              <w:rPr>
                <w:rStyle w:val="IntenseEmphasis"/>
                <w:rFonts w:eastAsiaTheme="majorEastAsia" w:cs="Arial"/>
                <w:i w:val="0"/>
                <w:sz w:val="24"/>
                <w:szCs w:val="24"/>
              </w:rPr>
              <w:t>REPORT AUTHOR</w:t>
            </w:r>
          </w:p>
          <w:p w14:paraId="085FC17C" w14:textId="77777777" w:rsidR="00CE5D16" w:rsidRPr="00CE5D16" w:rsidRDefault="00CE5D16" w:rsidP="00CE5D16">
            <w:pPr>
              <w:pStyle w:val="FrontCoverSubtitle"/>
              <w:framePr w:hSpace="0" w:wrap="auto" w:vAnchor="margin" w:hAnchor="text" w:yAlign="inline"/>
              <w:ind w:left="1080"/>
              <w:rPr>
                <w:rStyle w:val="IntenseEmphasis"/>
                <w:rFonts w:cs="Arial"/>
                <w:i w:val="0"/>
                <w:iCs w:val="0"/>
                <w:color w:val="243569"/>
                <w:sz w:val="24"/>
                <w:szCs w:val="24"/>
              </w:rPr>
            </w:pPr>
          </w:p>
          <w:p w14:paraId="5C8E606D"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Matthew Coe, Chief Finance Officer (CC) and Darren Garwood-Pask, Chief Finance Officer (PCC). </w:t>
            </w:r>
          </w:p>
          <w:p w14:paraId="5D162025" w14:textId="77777777" w:rsidR="00CE5D16" w:rsidRPr="00CE5D16" w:rsidRDefault="00CE5D16" w:rsidP="00CE5D16">
            <w:pPr>
              <w:pStyle w:val="FrontCoverSubtitle"/>
              <w:framePr w:hSpace="0" w:wrap="auto" w:vAnchor="margin" w:hAnchor="text" w:yAlign="inline"/>
              <w:rPr>
                <w:rStyle w:val="IntenseEmphasis"/>
                <w:rFonts w:cs="Arial"/>
                <w:i w:val="0"/>
                <w:iCs w:val="0"/>
                <w:color w:val="243569"/>
                <w:sz w:val="24"/>
                <w:szCs w:val="24"/>
              </w:rPr>
            </w:pPr>
          </w:p>
          <w:p w14:paraId="34DC1085" w14:textId="77777777" w:rsidR="00CE5D16" w:rsidRPr="00CE5D16" w:rsidRDefault="00CE5D16" w:rsidP="00CE5D16">
            <w:pPr>
              <w:pStyle w:val="FrontCoverSubtitle"/>
              <w:framePr w:hSpace="0" w:wrap="auto" w:vAnchor="margin" w:hAnchor="text" w:yAlign="inline"/>
              <w:rPr>
                <w:rStyle w:val="IntenseEmphasis"/>
                <w:rFonts w:cs="Arial"/>
                <w:i w:val="0"/>
                <w:iCs w:val="0"/>
                <w:color w:val="243569"/>
                <w:sz w:val="24"/>
                <w:szCs w:val="24"/>
              </w:rPr>
            </w:pPr>
          </w:p>
          <w:p w14:paraId="7972996D"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LEAD CHIEF OFFICERS</w:t>
            </w:r>
          </w:p>
          <w:p w14:paraId="3C74E601"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6BA8947E"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Matthew Coe, Chief Finance Officer (CC) and Darren Garwood-Pask, Chief Finance Officer (PCC). </w:t>
            </w:r>
          </w:p>
          <w:p w14:paraId="3D55A7B3" w14:textId="77777777" w:rsidR="00CE5D16" w:rsidRPr="00CE5D16" w:rsidRDefault="00CE5D16" w:rsidP="00CE5D16">
            <w:pPr>
              <w:pStyle w:val="FrontCoverSubtitle"/>
              <w:framePr w:hSpace="0" w:wrap="auto" w:vAnchor="margin" w:hAnchor="text" w:yAlign="inline"/>
              <w:jc w:val="both"/>
              <w:rPr>
                <w:rFonts w:cs="Arial"/>
                <w:b w:val="0"/>
                <w:sz w:val="24"/>
                <w:szCs w:val="24"/>
              </w:rPr>
            </w:pPr>
          </w:p>
          <w:p w14:paraId="1A0F56AC" w14:textId="77777777" w:rsidR="00CE5D16" w:rsidRPr="00CE5D16" w:rsidRDefault="00CE5D16" w:rsidP="00CE5D16">
            <w:pPr>
              <w:pStyle w:val="FrontCoverSubtitle"/>
              <w:framePr w:hSpace="0" w:wrap="auto" w:vAnchor="margin" w:hAnchor="text" w:yAlign="inline"/>
              <w:jc w:val="both"/>
              <w:rPr>
                <w:rFonts w:cs="Arial"/>
                <w:b w:val="0"/>
                <w:sz w:val="24"/>
                <w:szCs w:val="24"/>
              </w:rPr>
            </w:pPr>
          </w:p>
          <w:p w14:paraId="597CB363" w14:textId="77777777" w:rsidR="00CE5D16" w:rsidRPr="00CE5D16" w:rsidRDefault="00CE5D16" w:rsidP="00CE5D16">
            <w:pPr>
              <w:pStyle w:val="FrontCoverSubtitle"/>
              <w:framePr w:hSpace="0" w:wrap="auto" w:vAnchor="margin" w:hAnchor="text" w:yAlign="inline"/>
              <w:numPr>
                <w:ilvl w:val="0"/>
                <w:numId w:val="1"/>
              </w:numPr>
              <w:rPr>
                <w:rFonts w:cs="Arial"/>
                <w:sz w:val="24"/>
                <w:szCs w:val="24"/>
              </w:rPr>
            </w:pPr>
            <w:r w:rsidRPr="00CE5D16">
              <w:rPr>
                <w:rStyle w:val="IntenseEmphasis"/>
                <w:rFonts w:eastAsiaTheme="majorEastAsia" w:cs="Arial"/>
                <w:i w:val="0"/>
                <w:sz w:val="24"/>
                <w:szCs w:val="24"/>
              </w:rPr>
              <w:t>ANNEXES</w:t>
            </w:r>
          </w:p>
          <w:p w14:paraId="1FFAD1EE" w14:textId="77777777" w:rsidR="00CE5D16" w:rsidRPr="00CE5D16" w:rsidRDefault="00CE5D16" w:rsidP="00CE5D16">
            <w:pPr>
              <w:pStyle w:val="FrontCoverSubtitle"/>
              <w:framePr w:hSpace="0" w:wrap="auto" w:vAnchor="margin" w:hAnchor="text" w:yAlign="inline"/>
              <w:ind w:left="1080"/>
              <w:jc w:val="both"/>
              <w:rPr>
                <w:rFonts w:cs="Arial"/>
                <w:b w:val="0"/>
                <w:color w:val="auto"/>
                <w:sz w:val="24"/>
                <w:szCs w:val="24"/>
              </w:rPr>
            </w:pPr>
          </w:p>
          <w:p w14:paraId="74545FB0" w14:textId="77777777" w:rsidR="00CE5D16" w:rsidRPr="00CE5D16" w:rsidRDefault="00CE5D16" w:rsidP="00CE5D16">
            <w:pPr>
              <w:pStyle w:val="FrontCoverSubtitle"/>
              <w:framePr w:hSpace="0" w:wrap="auto" w:vAnchor="margin" w:hAnchor="text" w:yAlign="inline"/>
              <w:numPr>
                <w:ilvl w:val="1"/>
                <w:numId w:val="1"/>
              </w:numPr>
              <w:jc w:val="both"/>
              <w:rPr>
                <w:rFonts w:cs="Arial"/>
                <w:b w:val="0"/>
                <w:color w:val="auto"/>
                <w:sz w:val="24"/>
                <w:szCs w:val="24"/>
              </w:rPr>
            </w:pPr>
            <w:r w:rsidRPr="00CE5D16">
              <w:rPr>
                <w:rFonts w:cs="Arial"/>
                <w:b w:val="0"/>
                <w:color w:val="auto"/>
                <w:sz w:val="24"/>
                <w:szCs w:val="24"/>
              </w:rPr>
              <w:t xml:space="preserve">Annex 1 (MTFP </w:t>
            </w:r>
            <w:proofErr w:type="gramStart"/>
            <w:r w:rsidRPr="00CE5D16">
              <w:rPr>
                <w:rFonts w:cs="Arial"/>
                <w:b w:val="0"/>
                <w:color w:val="auto"/>
                <w:sz w:val="24"/>
                <w:szCs w:val="24"/>
              </w:rPr>
              <w:t>at</w:t>
            </w:r>
            <w:proofErr w:type="gramEnd"/>
            <w:r w:rsidRPr="00CE5D16">
              <w:rPr>
                <w:rFonts w:cs="Arial"/>
                <w:b w:val="0"/>
                <w:color w:val="auto"/>
                <w:sz w:val="24"/>
                <w:szCs w:val="24"/>
              </w:rPr>
              <w:t xml:space="preserve"> January 2026, Annex 2 (MTFP at May 2026) and Annex 3 (MTFP reconciliation January to May 2026) are included. </w:t>
            </w:r>
          </w:p>
          <w:p w14:paraId="63E7E709" w14:textId="77777777" w:rsidR="00CE5D16" w:rsidRPr="00CE5D16" w:rsidRDefault="00CE5D16" w:rsidP="00CE5D16">
            <w:pPr>
              <w:pStyle w:val="FrontCoverSubtitle"/>
              <w:framePr w:hSpace="0" w:wrap="auto" w:vAnchor="margin" w:hAnchor="text" w:yAlign="inline"/>
              <w:jc w:val="both"/>
              <w:rPr>
                <w:rFonts w:cs="Arial"/>
                <w:b w:val="0"/>
                <w:sz w:val="24"/>
                <w:szCs w:val="24"/>
              </w:rPr>
            </w:pPr>
          </w:p>
          <w:p w14:paraId="52972719" w14:textId="77777777" w:rsidR="00CE5D16" w:rsidRPr="00CE5D16" w:rsidRDefault="00CE5D16" w:rsidP="00CE5D16">
            <w:pPr>
              <w:pStyle w:val="FrontCoverSubtitle"/>
              <w:framePr w:hSpace="0" w:wrap="auto" w:vAnchor="margin" w:hAnchor="text" w:yAlign="inline"/>
              <w:rPr>
                <w:rFonts w:cs="Arial"/>
                <w:sz w:val="24"/>
                <w:szCs w:val="24"/>
              </w:rPr>
            </w:pPr>
          </w:p>
        </w:tc>
      </w:tr>
    </w:tbl>
    <w:p w14:paraId="6D6CC325" w14:textId="77777777" w:rsidR="00CE5D16" w:rsidRPr="00CE5D16" w:rsidRDefault="00CE5D16">
      <w:pPr>
        <w:rPr>
          <w:rFonts w:cs="Arial"/>
          <w:sz w:val="24"/>
          <w:szCs w:val="24"/>
        </w:rPr>
      </w:pPr>
    </w:p>
    <w:sectPr w:rsidR="00CE5D16" w:rsidRPr="00CE5D1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A56F9" w14:textId="77777777" w:rsidR="00A95F89" w:rsidRDefault="00A95F89" w:rsidP="00CE5D16">
      <w:pPr>
        <w:spacing w:after="0" w:line="240" w:lineRule="auto"/>
      </w:pPr>
      <w:r>
        <w:separator/>
      </w:r>
    </w:p>
  </w:endnote>
  <w:endnote w:type="continuationSeparator" w:id="0">
    <w:p w14:paraId="3CA86C19" w14:textId="77777777" w:rsidR="00A95F89" w:rsidRDefault="00A95F89" w:rsidP="00CE5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E15D4" w14:textId="77777777" w:rsidR="00A95F89" w:rsidRDefault="00A95F89" w:rsidP="00CE5D16">
      <w:pPr>
        <w:spacing w:after="0" w:line="240" w:lineRule="auto"/>
      </w:pPr>
      <w:r>
        <w:separator/>
      </w:r>
    </w:p>
  </w:footnote>
  <w:footnote w:type="continuationSeparator" w:id="0">
    <w:p w14:paraId="10562F37" w14:textId="77777777" w:rsidR="00A95F89" w:rsidRDefault="00A95F89" w:rsidP="00CE5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4FCC" w14:textId="77777777" w:rsidR="00CE5D16" w:rsidRPr="00CE5D16" w:rsidRDefault="00CE5D16" w:rsidP="00CE5D16">
    <w:pPr>
      <w:pStyle w:val="FrontCoverSubtitle"/>
      <w:framePr w:hSpace="0" w:wrap="auto" w:vAnchor="margin" w:hAnchor="text" w:yAlign="inline"/>
      <w:jc w:val="center"/>
      <w:rPr>
        <w:rFonts w:cs="Arial"/>
        <w:sz w:val="36"/>
        <w:szCs w:val="36"/>
      </w:rPr>
    </w:pPr>
    <w:bookmarkStart w:id="0" w:name="_Toc51517306"/>
    <w:r w:rsidRPr="00CE5D16">
      <w:rPr>
        <w:rFonts w:cs="Arial"/>
        <w:sz w:val="36"/>
        <w:szCs w:val="36"/>
      </w:rPr>
      <w:t xml:space="preserve">Medium Term Financial Plan 2026/27-2030/31 – </w:t>
    </w:r>
    <w:r>
      <w:rPr>
        <w:rFonts w:cs="Arial"/>
        <w:sz w:val="36"/>
        <w:szCs w:val="36"/>
      </w:rPr>
      <w:t>U</w:t>
    </w:r>
    <w:r w:rsidRPr="00CE5D16">
      <w:rPr>
        <w:rFonts w:cs="Arial"/>
        <w:sz w:val="36"/>
        <w:szCs w:val="36"/>
      </w:rPr>
      <w:t>pdate</w:t>
    </w:r>
    <w:r>
      <w:rPr>
        <w:rFonts w:cs="Arial"/>
        <w:sz w:val="36"/>
        <w:szCs w:val="36"/>
      </w:rPr>
      <w:t xml:space="preserve"> June 2026</w:t>
    </w:r>
  </w:p>
  <w:bookmarkEnd w:id="0"/>
  <w:p w14:paraId="7CA51A9E" w14:textId="77777777" w:rsidR="00CE5D16" w:rsidRPr="00CE5D16" w:rsidRDefault="00CE5D16" w:rsidP="00CE5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3747F"/>
    <w:multiLevelType w:val="multilevel"/>
    <w:tmpl w:val="E5628B30"/>
    <w:lvl w:ilvl="0">
      <w:start w:val="1"/>
      <w:numFmt w:val="decimal"/>
      <w:lvlText w:val="%1."/>
      <w:lvlJc w:val="left"/>
      <w:pPr>
        <w:ind w:left="1080" w:hanging="720"/>
      </w:pPr>
      <w:rPr>
        <w:rFonts w:hint="default"/>
        <w:i w:val="0"/>
        <w:iCs w:val="0"/>
      </w:rPr>
    </w:lvl>
    <w:lvl w:ilvl="1">
      <w:start w:val="1"/>
      <w:numFmt w:val="decimal"/>
      <w:isLgl/>
      <w:lvlText w:val="%1.%2"/>
      <w:lvlJc w:val="left"/>
      <w:pPr>
        <w:ind w:left="108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num w:numId="1" w16cid:durableId="338047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D16"/>
    <w:rsid w:val="001E638B"/>
    <w:rsid w:val="004A5866"/>
    <w:rsid w:val="00697EDE"/>
    <w:rsid w:val="008A353C"/>
    <w:rsid w:val="00A95F89"/>
    <w:rsid w:val="00CE5D16"/>
    <w:rsid w:val="00E57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131E"/>
  <w15:chartTrackingRefBased/>
  <w15:docId w15:val="{07DD9E80-CD1C-4291-A7B6-5010C6FB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D16"/>
    <w:pPr>
      <w:spacing w:line="259" w:lineRule="auto"/>
    </w:pPr>
    <w:rPr>
      <w:rFonts w:ascii="Arial" w:hAnsi="Arial"/>
      <w:kern w:val="0"/>
      <w:sz w:val="22"/>
      <w:szCs w:val="22"/>
      <w14:ligatures w14:val="none"/>
    </w:rPr>
  </w:style>
  <w:style w:type="paragraph" w:styleId="Heading1">
    <w:name w:val="heading 1"/>
    <w:basedOn w:val="Normal"/>
    <w:next w:val="Normal"/>
    <w:link w:val="Heading1Char"/>
    <w:uiPriority w:val="9"/>
    <w:qFormat/>
    <w:rsid w:val="00CE5D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D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D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D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D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D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D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D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D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D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D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D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D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D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D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D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D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D16"/>
    <w:rPr>
      <w:rFonts w:eastAsiaTheme="majorEastAsia" w:cstheme="majorBidi"/>
      <w:color w:val="272727" w:themeColor="text1" w:themeTint="D8"/>
    </w:rPr>
  </w:style>
  <w:style w:type="paragraph" w:styleId="Title">
    <w:name w:val="Title"/>
    <w:basedOn w:val="Normal"/>
    <w:next w:val="Normal"/>
    <w:link w:val="TitleChar"/>
    <w:uiPriority w:val="10"/>
    <w:qFormat/>
    <w:rsid w:val="00CE5D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D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D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D16"/>
    <w:pPr>
      <w:spacing w:before="160"/>
      <w:jc w:val="center"/>
    </w:pPr>
    <w:rPr>
      <w:i/>
      <w:iCs/>
      <w:color w:val="404040" w:themeColor="text1" w:themeTint="BF"/>
    </w:rPr>
  </w:style>
  <w:style w:type="character" w:customStyle="1" w:styleId="QuoteChar">
    <w:name w:val="Quote Char"/>
    <w:basedOn w:val="DefaultParagraphFont"/>
    <w:link w:val="Quote"/>
    <w:uiPriority w:val="29"/>
    <w:rsid w:val="00CE5D16"/>
    <w:rPr>
      <w:i/>
      <w:iCs/>
      <w:color w:val="404040" w:themeColor="text1" w:themeTint="BF"/>
    </w:rPr>
  </w:style>
  <w:style w:type="paragraph" w:styleId="ListParagraph">
    <w:name w:val="List Paragraph"/>
    <w:basedOn w:val="Normal"/>
    <w:uiPriority w:val="34"/>
    <w:qFormat/>
    <w:rsid w:val="00CE5D16"/>
    <w:pPr>
      <w:ind w:left="720"/>
      <w:contextualSpacing/>
    </w:pPr>
  </w:style>
  <w:style w:type="character" w:styleId="IntenseEmphasis">
    <w:name w:val="Intense Emphasis"/>
    <w:basedOn w:val="DefaultParagraphFont"/>
    <w:uiPriority w:val="21"/>
    <w:qFormat/>
    <w:rsid w:val="00CE5D16"/>
    <w:rPr>
      <w:i/>
      <w:iCs/>
      <w:color w:val="0F4761" w:themeColor="accent1" w:themeShade="BF"/>
    </w:rPr>
  </w:style>
  <w:style w:type="paragraph" w:styleId="IntenseQuote">
    <w:name w:val="Intense Quote"/>
    <w:basedOn w:val="Normal"/>
    <w:next w:val="Normal"/>
    <w:link w:val="IntenseQuoteChar"/>
    <w:uiPriority w:val="30"/>
    <w:qFormat/>
    <w:rsid w:val="00CE5D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D16"/>
    <w:rPr>
      <w:i/>
      <w:iCs/>
      <w:color w:val="0F4761" w:themeColor="accent1" w:themeShade="BF"/>
    </w:rPr>
  </w:style>
  <w:style w:type="character" w:styleId="IntenseReference">
    <w:name w:val="Intense Reference"/>
    <w:basedOn w:val="DefaultParagraphFont"/>
    <w:uiPriority w:val="32"/>
    <w:qFormat/>
    <w:rsid w:val="00CE5D16"/>
    <w:rPr>
      <w:b/>
      <w:bCs/>
      <w:smallCaps/>
      <w:color w:val="0F4761" w:themeColor="accent1" w:themeShade="BF"/>
      <w:spacing w:val="5"/>
    </w:rPr>
  </w:style>
  <w:style w:type="table" w:styleId="TableGrid">
    <w:name w:val="Table Grid"/>
    <w:basedOn w:val="TableNormal"/>
    <w:uiPriority w:val="39"/>
    <w:rsid w:val="00CE5D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CoverSubtitle">
    <w:name w:val="Front Cover Subtitle"/>
    <w:basedOn w:val="Normal"/>
    <w:link w:val="FrontCoverSubtitleChar"/>
    <w:qFormat/>
    <w:rsid w:val="00CE5D16"/>
    <w:pPr>
      <w:framePr w:hSpace="180" w:wrap="around" w:vAnchor="text" w:hAnchor="margin" w:y="875"/>
      <w:spacing w:after="0" w:line="240" w:lineRule="auto"/>
    </w:pPr>
    <w:rPr>
      <w:b/>
      <w:color w:val="243569"/>
      <w:sz w:val="56"/>
      <w:szCs w:val="28"/>
    </w:rPr>
  </w:style>
  <w:style w:type="character" w:customStyle="1" w:styleId="FrontCoverSubtitleChar">
    <w:name w:val="Front Cover Subtitle Char"/>
    <w:basedOn w:val="DefaultParagraphFont"/>
    <w:link w:val="FrontCoverSubtitle"/>
    <w:rsid w:val="00CE5D16"/>
    <w:rPr>
      <w:rFonts w:ascii="Arial" w:hAnsi="Arial"/>
      <w:b/>
      <w:color w:val="243569"/>
      <w:kern w:val="0"/>
      <w:sz w:val="56"/>
      <w:szCs w:val="28"/>
      <w14:ligatures w14:val="none"/>
    </w:rPr>
  </w:style>
  <w:style w:type="paragraph" w:styleId="Header">
    <w:name w:val="header"/>
    <w:basedOn w:val="Normal"/>
    <w:link w:val="HeaderChar"/>
    <w:uiPriority w:val="99"/>
    <w:unhideWhenUsed/>
    <w:rsid w:val="00CE5D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D16"/>
    <w:rPr>
      <w:rFonts w:ascii="Arial" w:hAnsi="Arial"/>
      <w:kern w:val="0"/>
      <w:sz w:val="22"/>
      <w:szCs w:val="22"/>
      <w14:ligatures w14:val="none"/>
    </w:rPr>
  </w:style>
  <w:style w:type="paragraph" w:styleId="Footer">
    <w:name w:val="footer"/>
    <w:basedOn w:val="Normal"/>
    <w:link w:val="FooterChar"/>
    <w:uiPriority w:val="99"/>
    <w:unhideWhenUsed/>
    <w:rsid w:val="00CE5D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D16"/>
    <w:rPr>
      <w:rFonts w:ascii="Arial" w:hAnsi="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8F42B2AE5CA46A49B8FE2E28CF54D" ma:contentTypeVersion="3" ma:contentTypeDescription="Create a new document." ma:contentTypeScope="" ma:versionID="bae008a4cbd89a6abbd3ba59d7eeec23">
  <xsd:schema xmlns:xsd="http://www.w3.org/2001/XMLSchema" xmlns:xs="http://www.w3.org/2001/XMLSchema" xmlns:p="http://schemas.microsoft.com/office/2006/metadata/properties" xmlns:ns2="e24ad573-17c5-4165-b03e-ce4e17f26247" targetNamespace="http://schemas.microsoft.com/office/2006/metadata/properties" ma:root="true" ma:fieldsID="443faea474f2b6af77cf0e5b53705b40" ns2:_="">
    <xsd:import namespace="e24ad573-17c5-4165-b03e-ce4e17f262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ad573-17c5-4165-b03e-ce4e17f26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927396-C057-4E1D-942C-EED15E867F46}"/>
</file>

<file path=customXml/itemProps2.xml><?xml version="1.0" encoding="utf-8"?>
<ds:datastoreItem xmlns:ds="http://schemas.openxmlformats.org/officeDocument/2006/customXml" ds:itemID="{8E738F80-3906-47BD-8F53-5921BD50532E}"/>
</file>

<file path=customXml/itemProps3.xml><?xml version="1.0" encoding="utf-8"?>
<ds:datastoreItem xmlns:ds="http://schemas.openxmlformats.org/officeDocument/2006/customXml" ds:itemID="{522D888A-0E64-4DFC-959F-232CA48E0594}"/>
</file>

<file path=docProps/app.xml><?xml version="1.0" encoding="utf-8"?>
<Properties xmlns="http://schemas.openxmlformats.org/officeDocument/2006/extended-properties" xmlns:vt="http://schemas.openxmlformats.org/officeDocument/2006/docPropsVTypes">
  <Template>Normal</Template>
  <TotalTime>21</TotalTime>
  <Pages>5</Pages>
  <Words>1553</Words>
  <Characters>8203</Characters>
  <Application>Microsoft Office Word</Application>
  <DocSecurity>0</DocSecurity>
  <Lines>227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Garwood, Darren</dc:creator>
  <cp:keywords/>
  <dc:description/>
  <cp:lastModifiedBy>Garwood, Darren</cp:lastModifiedBy>
  <cp:revision>3</cp:revision>
  <dcterms:created xsi:type="dcterms:W3CDTF">2026-06-22T08:08:00Z</dcterms:created>
  <dcterms:modified xsi:type="dcterms:W3CDTF">2026-06-22T08:31:00Z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cd28b-79a3-4a0f-b0ff-4b75658b1549_Enabled">
    <vt:lpwstr>true</vt:lpwstr>
  </property>
  <property fmtid="{D5CDD505-2E9C-101B-9397-08002B2CF9AE}" pid="3" name="MSIP_Label_f2acd28b-79a3-4a0f-b0ff-4b75658b1549_SetDate">
    <vt:lpwstr>2026-06-22T08:12:27Z</vt:lpwstr>
  </property>
  <property fmtid="{D5CDD505-2E9C-101B-9397-08002B2CF9AE}" pid="4" name="MSIP_Label_f2acd28b-79a3-4a0f-b0ff-4b75658b1549_Method">
    <vt:lpwstr>Standard</vt:lpwstr>
  </property>
  <property fmtid="{D5CDD505-2E9C-101B-9397-08002B2CF9AE}" pid="5" name="MSIP_Label_f2acd28b-79a3-4a0f-b0ff-4b75658b1549_Name">
    <vt:lpwstr>OFFICIAL</vt:lpwstr>
  </property>
  <property fmtid="{D5CDD505-2E9C-101B-9397-08002B2CF9AE}" pid="6" name="MSIP_Label_f2acd28b-79a3-4a0f-b0ff-4b75658b1549_SiteId">
    <vt:lpwstr>e46c8472-ef5d-4b63-bc74-4a60db42c371</vt:lpwstr>
  </property>
  <property fmtid="{D5CDD505-2E9C-101B-9397-08002B2CF9AE}" pid="7" name="MSIP_Label_f2acd28b-79a3-4a0f-b0ff-4b75658b1549_ActionId">
    <vt:lpwstr>c56bc613-bef9-4126-a4a5-10504f784c62</vt:lpwstr>
  </property>
  <property fmtid="{D5CDD505-2E9C-101B-9397-08002B2CF9AE}" pid="8" name="MSIP_Label_f2acd28b-79a3-4a0f-b0ff-4b75658b1549_ContentBits">
    <vt:lpwstr>0</vt:lpwstr>
  </property>
  <property fmtid="{D5CDD505-2E9C-101B-9397-08002B2CF9AE}" pid="9" name="MSIP_Label_f2acd28b-79a3-4a0f-b0ff-4b75658b1549_Tag">
    <vt:lpwstr>10, 3, 0, 1</vt:lpwstr>
  </property>
  <property fmtid="{D5CDD505-2E9C-101B-9397-08002B2CF9AE}" pid="10" name="ContentTypeId">
    <vt:lpwstr>0x010100BF18F42B2AE5CA46A49B8FE2E28CF54D</vt:lpwstr>
  </property>
  <property fmtid="{D5CDD505-2E9C-101B-9397-08002B2CF9AE}" pid="12" name="docLang">
    <vt:lpwstr>en</vt:lpwstr>
  </property>
</Properties>
</file>