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86A3" w14:textId="77777777" w:rsidR="00F5207B" w:rsidRDefault="00F5207B">
      <w:pPr>
        <w:spacing w:after="0"/>
        <w:jc w:val="right"/>
        <w:rPr>
          <w:rFonts w:ascii="Arial" w:hAnsi="Arial" w:cs="Arial"/>
          <w:b/>
          <w:sz w:val="24"/>
          <w:szCs w:val="24"/>
        </w:rPr>
      </w:pPr>
    </w:p>
    <w:p w14:paraId="1E97E16D" w14:textId="77777777" w:rsidR="00F5207B" w:rsidRDefault="00F5207B">
      <w:pPr>
        <w:spacing w:after="0"/>
        <w:jc w:val="center"/>
        <w:rPr>
          <w:rFonts w:ascii="Arial" w:hAnsi="Arial" w:cs="Arial"/>
          <w:b/>
          <w:sz w:val="24"/>
          <w:szCs w:val="24"/>
          <w:u w:val="single"/>
        </w:rPr>
      </w:pPr>
      <w:r>
        <w:rPr>
          <w:rFonts w:ascii="Arial" w:hAnsi="Arial" w:cs="Arial"/>
          <w:b/>
          <w:sz w:val="24"/>
          <w:szCs w:val="24"/>
          <w:u w:val="single"/>
        </w:rPr>
        <w:t>OFFICE OF POLICE AND CRIME COMMISSIONER</w:t>
      </w:r>
    </w:p>
    <w:p w14:paraId="43AFCDA4" w14:textId="77777777" w:rsidR="00F5207B" w:rsidRDefault="00F5207B">
      <w:pPr>
        <w:spacing w:after="0"/>
        <w:ind w:left="1440" w:hanging="1440"/>
        <w:rPr>
          <w:rFonts w:ascii="Arial" w:hAnsi="Arial" w:cs="Arial"/>
          <w:b/>
          <w:sz w:val="24"/>
          <w:szCs w:val="24"/>
        </w:rPr>
      </w:pPr>
    </w:p>
    <w:p w14:paraId="4A70EB83" w14:textId="77777777" w:rsidR="00F5207B" w:rsidRDefault="00F5207B">
      <w:pPr>
        <w:spacing w:after="0"/>
        <w:ind w:left="1440" w:hanging="1440"/>
        <w:rPr>
          <w:rFonts w:ascii="Arial" w:hAnsi="Arial" w:cs="Arial"/>
          <w:b/>
          <w:sz w:val="24"/>
          <w:szCs w:val="24"/>
        </w:rPr>
      </w:pPr>
      <w:r>
        <w:rPr>
          <w:rFonts w:ascii="Arial" w:hAnsi="Arial" w:cs="Arial"/>
          <w:b/>
          <w:sz w:val="24"/>
          <w:szCs w:val="24"/>
        </w:rPr>
        <w:t xml:space="preserve">TITLE: </w:t>
      </w:r>
      <w:r>
        <w:rPr>
          <w:rFonts w:ascii="Arial" w:hAnsi="Arial" w:cs="Arial"/>
          <w:sz w:val="24"/>
          <w:szCs w:val="24"/>
        </w:rPr>
        <w:tab/>
      </w:r>
      <w:r>
        <w:rPr>
          <w:rFonts w:ascii="Arial" w:hAnsi="Arial" w:cs="Arial"/>
          <w:b/>
          <w:sz w:val="24"/>
          <w:szCs w:val="24"/>
        </w:rPr>
        <w:t>Police and Crime Commissioner for Gwent Reserves</w:t>
      </w:r>
      <w:r w:rsidR="00E55F43">
        <w:rPr>
          <w:rFonts w:ascii="Arial" w:hAnsi="Arial" w:cs="Arial"/>
          <w:b/>
          <w:sz w:val="24"/>
          <w:szCs w:val="24"/>
        </w:rPr>
        <w:t xml:space="preserve"> and Committed Funds</w:t>
      </w:r>
      <w:r>
        <w:rPr>
          <w:rFonts w:ascii="Arial" w:hAnsi="Arial" w:cs="Arial"/>
          <w:b/>
          <w:sz w:val="24"/>
          <w:szCs w:val="24"/>
        </w:rPr>
        <w:t xml:space="preserve"> </w:t>
      </w:r>
      <w:r w:rsidR="00471CD4">
        <w:rPr>
          <w:rFonts w:ascii="Arial" w:hAnsi="Arial" w:cs="Arial"/>
          <w:b/>
          <w:sz w:val="24"/>
          <w:szCs w:val="24"/>
        </w:rPr>
        <w:t>Strategy</w:t>
      </w:r>
    </w:p>
    <w:p w14:paraId="6907DFBF" w14:textId="77777777" w:rsidR="00F5207B" w:rsidRDefault="00F5207B">
      <w:pPr>
        <w:spacing w:after="0"/>
        <w:rPr>
          <w:rFonts w:ascii="Arial" w:hAnsi="Arial" w:cs="Arial"/>
          <w:b/>
          <w:sz w:val="24"/>
          <w:szCs w:val="24"/>
        </w:rPr>
      </w:pPr>
    </w:p>
    <w:p w14:paraId="6E1F9673" w14:textId="66B5FC86" w:rsidR="00F5207B" w:rsidRDefault="00F5207B">
      <w:pPr>
        <w:spacing w:after="0"/>
        <w:rPr>
          <w:rFonts w:ascii="Arial" w:hAnsi="Arial" w:cs="Arial"/>
          <w:b/>
          <w:sz w:val="24"/>
          <w:szCs w:val="24"/>
        </w:rPr>
      </w:pPr>
      <w:r>
        <w:rPr>
          <w:rFonts w:ascii="Arial" w:hAnsi="Arial" w:cs="Arial"/>
          <w:b/>
          <w:sz w:val="24"/>
          <w:szCs w:val="24"/>
        </w:rPr>
        <w:t>DATE:</w:t>
      </w:r>
      <w:r>
        <w:rPr>
          <w:rFonts w:ascii="Arial" w:hAnsi="Arial" w:cs="Arial"/>
          <w:b/>
          <w:sz w:val="24"/>
          <w:szCs w:val="24"/>
        </w:rPr>
        <w:tab/>
      </w:r>
      <w:r w:rsidR="00C95750">
        <w:rPr>
          <w:rFonts w:ascii="Arial" w:hAnsi="Arial" w:cs="Arial"/>
          <w:b/>
          <w:sz w:val="24"/>
          <w:szCs w:val="24"/>
        </w:rPr>
        <w:t>26</w:t>
      </w:r>
      <w:r w:rsidR="005709F0" w:rsidRPr="005709F0">
        <w:rPr>
          <w:rFonts w:ascii="Arial" w:hAnsi="Arial" w:cs="Arial"/>
          <w:b/>
          <w:sz w:val="24"/>
          <w:szCs w:val="24"/>
          <w:vertAlign w:val="superscript"/>
        </w:rPr>
        <w:t>th</w:t>
      </w:r>
      <w:r w:rsidR="005709F0">
        <w:rPr>
          <w:rFonts w:ascii="Arial" w:hAnsi="Arial" w:cs="Arial"/>
          <w:b/>
          <w:sz w:val="24"/>
          <w:szCs w:val="24"/>
        </w:rPr>
        <w:t xml:space="preserve"> </w:t>
      </w:r>
      <w:r w:rsidR="00C95750">
        <w:rPr>
          <w:rFonts w:ascii="Arial" w:hAnsi="Arial" w:cs="Arial"/>
          <w:b/>
          <w:sz w:val="24"/>
          <w:szCs w:val="24"/>
        </w:rPr>
        <w:t>November</w:t>
      </w:r>
      <w:r>
        <w:rPr>
          <w:rFonts w:ascii="Arial" w:hAnsi="Arial" w:cs="Arial"/>
          <w:b/>
          <w:sz w:val="24"/>
          <w:szCs w:val="24"/>
        </w:rPr>
        <w:t xml:space="preserve"> 20</w:t>
      </w:r>
      <w:r w:rsidR="0073229F">
        <w:rPr>
          <w:rFonts w:ascii="Arial" w:hAnsi="Arial" w:cs="Arial"/>
          <w:b/>
          <w:sz w:val="24"/>
          <w:szCs w:val="24"/>
        </w:rPr>
        <w:t>2</w:t>
      </w:r>
      <w:r w:rsidR="00C95750">
        <w:rPr>
          <w:rFonts w:ascii="Arial" w:hAnsi="Arial" w:cs="Arial"/>
          <w:b/>
          <w:sz w:val="24"/>
          <w:szCs w:val="24"/>
        </w:rPr>
        <w:t>4</w:t>
      </w:r>
    </w:p>
    <w:p w14:paraId="4CDBA17A" w14:textId="77777777" w:rsidR="00F5207B" w:rsidRDefault="00F5207B">
      <w:pPr>
        <w:spacing w:after="0" w:line="240" w:lineRule="auto"/>
        <w:jc w:val="both"/>
        <w:rPr>
          <w:rFonts w:ascii="Arial" w:hAnsi="Arial" w:cs="Arial"/>
          <w:b/>
          <w:sz w:val="24"/>
          <w:szCs w:val="24"/>
        </w:rPr>
      </w:pPr>
    </w:p>
    <w:p w14:paraId="20CEAE26" w14:textId="77777777" w:rsidR="00476B2F" w:rsidRDefault="005F2D6E">
      <w:pPr>
        <w:spacing w:after="0" w:line="240" w:lineRule="auto"/>
        <w:jc w:val="both"/>
        <w:rPr>
          <w:rFonts w:ascii="Arial" w:hAnsi="Arial" w:cs="Arial"/>
          <w:b/>
          <w:sz w:val="24"/>
          <w:szCs w:val="24"/>
        </w:rPr>
      </w:pPr>
      <w:r>
        <w:rPr>
          <w:rFonts w:ascii="Arial" w:hAnsi="Arial" w:cs="Arial"/>
          <w:b/>
          <w:sz w:val="24"/>
          <w:szCs w:val="24"/>
        </w:rPr>
        <w:t xml:space="preserve">TIMING: </w:t>
      </w:r>
      <w:r>
        <w:rPr>
          <w:rFonts w:ascii="Arial" w:hAnsi="Arial" w:cs="Arial"/>
          <w:b/>
          <w:sz w:val="24"/>
          <w:szCs w:val="24"/>
        </w:rPr>
        <w:tab/>
      </w:r>
      <w:r w:rsidR="005709F0">
        <w:rPr>
          <w:rFonts w:ascii="Arial" w:hAnsi="Arial" w:cs="Arial"/>
          <w:b/>
          <w:sz w:val="24"/>
          <w:szCs w:val="24"/>
        </w:rPr>
        <w:t>Annually</w:t>
      </w:r>
      <w:r w:rsidR="00476B2F">
        <w:rPr>
          <w:rFonts w:ascii="Arial" w:hAnsi="Arial" w:cs="Arial"/>
          <w:b/>
          <w:sz w:val="24"/>
          <w:szCs w:val="24"/>
        </w:rPr>
        <w:t xml:space="preserve"> - </w:t>
      </w:r>
      <w:r>
        <w:rPr>
          <w:rFonts w:ascii="Arial" w:hAnsi="Arial" w:cs="Arial"/>
          <w:b/>
          <w:sz w:val="24"/>
          <w:szCs w:val="24"/>
        </w:rPr>
        <w:t xml:space="preserve">Commencement of the Annual </w:t>
      </w:r>
    </w:p>
    <w:p w14:paraId="33FB9FB4" w14:textId="77777777" w:rsidR="00F5207B" w:rsidRDefault="00476B2F">
      <w:pPr>
        <w:spacing w:after="0" w:line="240" w:lineRule="auto"/>
        <w:jc w:val="both"/>
        <w:rPr>
          <w:rFonts w:ascii="Arial" w:hAnsi="Arial" w:cs="Arial"/>
          <w:b/>
          <w:i/>
          <w:szCs w:val="24"/>
        </w:rPr>
      </w:pPr>
      <w:r>
        <w:rPr>
          <w:rFonts w:ascii="Arial" w:hAnsi="Arial" w:cs="Arial"/>
          <w:b/>
          <w:sz w:val="24"/>
          <w:szCs w:val="24"/>
        </w:rPr>
        <w:tab/>
      </w:r>
      <w:r>
        <w:rPr>
          <w:rFonts w:ascii="Arial" w:hAnsi="Arial" w:cs="Arial"/>
          <w:b/>
          <w:sz w:val="24"/>
          <w:szCs w:val="24"/>
        </w:rPr>
        <w:tab/>
      </w:r>
      <w:r w:rsidR="005F2D6E">
        <w:rPr>
          <w:rFonts w:ascii="Arial" w:hAnsi="Arial" w:cs="Arial"/>
          <w:b/>
          <w:sz w:val="24"/>
          <w:szCs w:val="24"/>
        </w:rPr>
        <w:t>Budget Setting Process</w:t>
      </w:r>
    </w:p>
    <w:p w14:paraId="572A8332" w14:textId="77777777" w:rsidR="00F5207B" w:rsidRDefault="00F5207B">
      <w:pPr>
        <w:spacing w:after="0" w:line="240" w:lineRule="auto"/>
        <w:jc w:val="both"/>
        <w:rPr>
          <w:rFonts w:ascii="Arial" w:hAnsi="Arial" w:cs="Arial"/>
          <w:b/>
          <w:szCs w:val="24"/>
        </w:rPr>
      </w:pPr>
    </w:p>
    <w:p w14:paraId="14F807F5" w14:textId="77777777" w:rsidR="00F5207B" w:rsidRDefault="00F5207B">
      <w:pPr>
        <w:spacing w:after="0" w:line="240" w:lineRule="auto"/>
        <w:jc w:val="both"/>
        <w:rPr>
          <w:rFonts w:cs="Arial"/>
          <w:b/>
          <w:szCs w:val="24"/>
        </w:rPr>
      </w:pPr>
      <w:r>
        <w:rPr>
          <w:rFonts w:ascii="Arial" w:hAnsi="Arial" w:cs="Arial"/>
          <w:b/>
          <w:sz w:val="24"/>
          <w:szCs w:val="24"/>
        </w:rPr>
        <w:t>PURPOSE:</w:t>
      </w:r>
      <w:r>
        <w:rPr>
          <w:rFonts w:ascii="Arial" w:hAnsi="Arial" w:cs="Arial"/>
          <w:b/>
          <w:i/>
          <w:szCs w:val="24"/>
        </w:rPr>
        <w:t xml:space="preserve"> </w:t>
      </w:r>
      <w:r>
        <w:rPr>
          <w:rFonts w:ascii="Arial" w:hAnsi="Arial" w:cs="Arial"/>
          <w:b/>
          <w:i/>
          <w:szCs w:val="24"/>
        </w:rPr>
        <w:tab/>
      </w:r>
      <w:r>
        <w:rPr>
          <w:rFonts w:ascii="Arial" w:hAnsi="Arial" w:cs="Arial"/>
          <w:b/>
          <w:sz w:val="24"/>
          <w:szCs w:val="24"/>
        </w:rPr>
        <w:t>For information</w:t>
      </w:r>
    </w:p>
    <w:p w14:paraId="0A55FFF9" w14:textId="77777777" w:rsidR="00F5207B" w:rsidRDefault="00F5207B">
      <w:pPr>
        <w:spacing w:after="0" w:line="240" w:lineRule="auto"/>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376"/>
      </w:tblGrid>
      <w:tr w:rsidR="00F5207B" w14:paraId="3B1BFCC7" w14:textId="77777777" w:rsidTr="000167AE">
        <w:tc>
          <w:tcPr>
            <w:tcW w:w="684" w:type="dxa"/>
          </w:tcPr>
          <w:p w14:paraId="2049AF41" w14:textId="77777777" w:rsidR="00F5207B" w:rsidRDefault="00F5207B" w:rsidP="00995E23">
            <w:pPr>
              <w:spacing w:after="0" w:line="240" w:lineRule="auto"/>
              <w:rPr>
                <w:rFonts w:ascii="Arial" w:hAnsi="Arial" w:cs="Arial"/>
                <w:b/>
                <w:sz w:val="24"/>
                <w:szCs w:val="24"/>
              </w:rPr>
            </w:pPr>
            <w:r>
              <w:rPr>
                <w:rFonts w:ascii="Arial" w:hAnsi="Arial" w:cs="Arial"/>
                <w:b/>
                <w:sz w:val="24"/>
                <w:szCs w:val="24"/>
              </w:rPr>
              <w:t>1.</w:t>
            </w:r>
          </w:p>
        </w:tc>
        <w:tc>
          <w:tcPr>
            <w:tcW w:w="8376" w:type="dxa"/>
          </w:tcPr>
          <w:p w14:paraId="45D50224" w14:textId="0FE4F674" w:rsidR="00F5207B" w:rsidRDefault="00F5207B" w:rsidP="00995E23">
            <w:pPr>
              <w:spacing w:after="0" w:line="240" w:lineRule="auto"/>
              <w:jc w:val="both"/>
              <w:rPr>
                <w:rFonts w:ascii="Arial" w:hAnsi="Arial" w:cs="Arial"/>
                <w:sz w:val="24"/>
                <w:szCs w:val="24"/>
              </w:rPr>
            </w:pPr>
            <w:r>
              <w:rPr>
                <w:rFonts w:ascii="Arial" w:hAnsi="Arial" w:cs="Arial"/>
                <w:b/>
                <w:sz w:val="24"/>
                <w:szCs w:val="24"/>
                <w:u w:val="single"/>
              </w:rPr>
              <w:t>RECOMMENDATION</w:t>
            </w:r>
            <w:r>
              <w:rPr>
                <w:rFonts w:ascii="Arial" w:hAnsi="Arial" w:cs="Arial"/>
                <w:b/>
                <w:sz w:val="24"/>
                <w:szCs w:val="24"/>
                <w:u w:val="single"/>
              </w:rPr>
              <w:br/>
            </w:r>
            <w:r w:rsidRPr="00517C4B">
              <w:rPr>
                <w:rFonts w:ascii="Arial" w:hAnsi="Arial" w:cs="Arial"/>
                <w:sz w:val="24"/>
                <w:szCs w:val="24"/>
              </w:rPr>
              <w:t xml:space="preserve">To provide </w:t>
            </w:r>
            <w:r w:rsidR="008A1244" w:rsidRPr="00517C4B">
              <w:rPr>
                <w:rFonts w:ascii="Arial" w:hAnsi="Arial" w:cs="Arial"/>
                <w:sz w:val="24"/>
                <w:szCs w:val="24"/>
              </w:rPr>
              <w:t>M</w:t>
            </w:r>
            <w:r w:rsidRPr="00517C4B">
              <w:rPr>
                <w:rFonts w:ascii="Arial" w:hAnsi="Arial" w:cs="Arial"/>
                <w:sz w:val="24"/>
                <w:szCs w:val="24"/>
              </w:rPr>
              <w:t xml:space="preserve">embers of the </w:t>
            </w:r>
            <w:r w:rsidR="008A1244" w:rsidRPr="00517C4B">
              <w:rPr>
                <w:rFonts w:ascii="Arial" w:hAnsi="Arial" w:cs="Arial"/>
                <w:sz w:val="24"/>
                <w:szCs w:val="24"/>
              </w:rPr>
              <w:t xml:space="preserve">Joint Audit Committee </w:t>
            </w:r>
            <w:r w:rsidR="00956F91">
              <w:rPr>
                <w:rFonts w:ascii="Arial" w:hAnsi="Arial" w:cs="Arial"/>
                <w:sz w:val="24"/>
                <w:szCs w:val="24"/>
              </w:rPr>
              <w:t>(</w:t>
            </w:r>
            <w:r w:rsidR="00030E6C">
              <w:rPr>
                <w:rFonts w:ascii="Arial" w:hAnsi="Arial" w:cs="Arial"/>
                <w:sz w:val="24"/>
                <w:szCs w:val="24"/>
              </w:rPr>
              <w:t xml:space="preserve">JAC) </w:t>
            </w:r>
            <w:r w:rsidR="008A1244" w:rsidRPr="00517C4B">
              <w:rPr>
                <w:rFonts w:ascii="Arial" w:hAnsi="Arial" w:cs="Arial"/>
                <w:sz w:val="24"/>
                <w:szCs w:val="24"/>
              </w:rPr>
              <w:t xml:space="preserve">with the Police and Crime Commissioner’s (Commissioner) Reserves </w:t>
            </w:r>
            <w:r w:rsidR="00A920A6">
              <w:rPr>
                <w:rFonts w:ascii="Arial" w:hAnsi="Arial" w:cs="Arial"/>
                <w:sz w:val="24"/>
                <w:szCs w:val="24"/>
              </w:rPr>
              <w:t xml:space="preserve">and Committed Funds </w:t>
            </w:r>
            <w:r w:rsidR="008A1244" w:rsidRPr="00517C4B">
              <w:rPr>
                <w:rFonts w:ascii="Arial" w:hAnsi="Arial" w:cs="Arial"/>
                <w:sz w:val="24"/>
                <w:szCs w:val="24"/>
              </w:rPr>
              <w:t>Strategy</w:t>
            </w:r>
            <w:r w:rsidR="005D0966" w:rsidRPr="00517C4B">
              <w:rPr>
                <w:rFonts w:ascii="Arial" w:hAnsi="Arial" w:cs="Arial"/>
                <w:sz w:val="24"/>
                <w:szCs w:val="24"/>
              </w:rPr>
              <w:t xml:space="preserve"> 20</w:t>
            </w:r>
            <w:r w:rsidR="0073229F">
              <w:rPr>
                <w:rFonts w:ascii="Arial" w:hAnsi="Arial" w:cs="Arial"/>
                <w:sz w:val="24"/>
                <w:szCs w:val="24"/>
              </w:rPr>
              <w:t>2</w:t>
            </w:r>
            <w:r w:rsidR="00C95750">
              <w:rPr>
                <w:rFonts w:ascii="Arial" w:hAnsi="Arial" w:cs="Arial"/>
                <w:sz w:val="24"/>
                <w:szCs w:val="24"/>
              </w:rPr>
              <w:t>4</w:t>
            </w:r>
            <w:r w:rsidR="009C3AD6">
              <w:rPr>
                <w:rFonts w:ascii="Arial" w:hAnsi="Arial" w:cs="Arial"/>
                <w:sz w:val="24"/>
                <w:szCs w:val="24"/>
              </w:rPr>
              <w:t>/2</w:t>
            </w:r>
            <w:r w:rsidR="00C95750">
              <w:rPr>
                <w:rFonts w:ascii="Arial" w:hAnsi="Arial" w:cs="Arial"/>
                <w:sz w:val="24"/>
                <w:szCs w:val="24"/>
              </w:rPr>
              <w:t>5</w:t>
            </w:r>
            <w:r w:rsidR="005D0966" w:rsidRPr="00517C4B">
              <w:rPr>
                <w:rFonts w:ascii="Arial" w:hAnsi="Arial" w:cs="Arial"/>
                <w:sz w:val="24"/>
                <w:szCs w:val="24"/>
              </w:rPr>
              <w:t>,</w:t>
            </w:r>
            <w:r w:rsidR="008A1244" w:rsidRPr="00517C4B">
              <w:rPr>
                <w:rFonts w:ascii="Arial" w:hAnsi="Arial" w:cs="Arial"/>
                <w:sz w:val="24"/>
                <w:szCs w:val="24"/>
              </w:rPr>
              <w:t xml:space="preserve"> </w:t>
            </w:r>
            <w:r w:rsidR="005D0966" w:rsidRPr="00517C4B">
              <w:rPr>
                <w:rFonts w:ascii="Arial" w:hAnsi="Arial" w:cs="Arial"/>
                <w:sz w:val="24"/>
                <w:szCs w:val="24"/>
              </w:rPr>
              <w:t xml:space="preserve">for their consideration.  This will enable Members </w:t>
            </w:r>
            <w:r w:rsidR="008A1244" w:rsidRPr="00517C4B">
              <w:rPr>
                <w:rFonts w:ascii="Arial" w:hAnsi="Arial" w:cs="Arial"/>
                <w:sz w:val="24"/>
                <w:szCs w:val="24"/>
              </w:rPr>
              <w:t>to discharge their responsibilities in rel</w:t>
            </w:r>
            <w:r w:rsidR="005D0966" w:rsidRPr="00517C4B">
              <w:rPr>
                <w:rFonts w:ascii="Arial" w:hAnsi="Arial" w:cs="Arial"/>
                <w:sz w:val="24"/>
                <w:szCs w:val="24"/>
              </w:rPr>
              <w:t>a</w:t>
            </w:r>
            <w:r w:rsidR="008A1244" w:rsidRPr="00517C4B">
              <w:rPr>
                <w:rFonts w:ascii="Arial" w:hAnsi="Arial" w:cs="Arial"/>
                <w:sz w:val="24"/>
                <w:szCs w:val="24"/>
              </w:rPr>
              <w:t xml:space="preserve">tion to the budget setting process and the annual financial statements.  This strategy will also be considered by the </w:t>
            </w:r>
            <w:r w:rsidRPr="00517C4B">
              <w:rPr>
                <w:rFonts w:ascii="Arial" w:hAnsi="Arial" w:cs="Arial"/>
                <w:sz w:val="24"/>
                <w:szCs w:val="24"/>
              </w:rPr>
              <w:t xml:space="preserve">Police and Crime Panel (PCP) </w:t>
            </w:r>
            <w:r w:rsidR="008A1244" w:rsidRPr="00517C4B">
              <w:rPr>
                <w:rFonts w:ascii="Arial" w:hAnsi="Arial" w:cs="Arial"/>
                <w:sz w:val="24"/>
                <w:szCs w:val="24"/>
              </w:rPr>
              <w:t>in due</w:t>
            </w:r>
            <w:r w:rsidR="005D0966" w:rsidRPr="00517C4B">
              <w:rPr>
                <w:rFonts w:ascii="Arial" w:hAnsi="Arial" w:cs="Arial"/>
                <w:sz w:val="24"/>
                <w:szCs w:val="24"/>
              </w:rPr>
              <w:t xml:space="preserve"> course as part of their delibe</w:t>
            </w:r>
            <w:r w:rsidR="008A1244" w:rsidRPr="00517C4B">
              <w:rPr>
                <w:rFonts w:ascii="Arial" w:hAnsi="Arial" w:cs="Arial"/>
                <w:sz w:val="24"/>
                <w:szCs w:val="24"/>
              </w:rPr>
              <w:t>r</w:t>
            </w:r>
            <w:r w:rsidR="005D0966" w:rsidRPr="00517C4B">
              <w:rPr>
                <w:rFonts w:ascii="Arial" w:hAnsi="Arial" w:cs="Arial"/>
                <w:sz w:val="24"/>
                <w:szCs w:val="24"/>
              </w:rPr>
              <w:t>a</w:t>
            </w:r>
            <w:r w:rsidR="008A1244" w:rsidRPr="00517C4B">
              <w:rPr>
                <w:rFonts w:ascii="Arial" w:hAnsi="Arial" w:cs="Arial"/>
                <w:sz w:val="24"/>
                <w:szCs w:val="24"/>
              </w:rPr>
              <w:t>tions regarding</w:t>
            </w:r>
            <w:r w:rsidRPr="00517C4B">
              <w:rPr>
                <w:rFonts w:ascii="Arial" w:hAnsi="Arial" w:cs="Arial"/>
                <w:sz w:val="24"/>
                <w:szCs w:val="24"/>
              </w:rPr>
              <w:t xml:space="preserve"> </w:t>
            </w:r>
            <w:r w:rsidR="008A1244" w:rsidRPr="00517C4B">
              <w:rPr>
                <w:rFonts w:ascii="Arial" w:hAnsi="Arial" w:cs="Arial"/>
                <w:sz w:val="24"/>
                <w:szCs w:val="24"/>
              </w:rPr>
              <w:t xml:space="preserve">the Commissioner’s </w:t>
            </w:r>
            <w:r w:rsidR="00034898">
              <w:rPr>
                <w:rFonts w:ascii="Arial" w:hAnsi="Arial" w:cs="Arial"/>
                <w:sz w:val="24"/>
                <w:szCs w:val="24"/>
              </w:rPr>
              <w:t xml:space="preserve">Council Tax </w:t>
            </w:r>
            <w:r w:rsidRPr="00517C4B">
              <w:rPr>
                <w:rFonts w:ascii="Arial" w:hAnsi="Arial" w:cs="Arial"/>
                <w:sz w:val="24"/>
                <w:szCs w:val="24"/>
              </w:rPr>
              <w:t>Precept proposal for 20</w:t>
            </w:r>
            <w:r w:rsidR="009C3AD6">
              <w:rPr>
                <w:rFonts w:ascii="Arial" w:hAnsi="Arial" w:cs="Arial"/>
                <w:sz w:val="24"/>
                <w:szCs w:val="24"/>
              </w:rPr>
              <w:t>2</w:t>
            </w:r>
            <w:r w:rsidR="00C95750">
              <w:rPr>
                <w:rFonts w:ascii="Arial" w:hAnsi="Arial" w:cs="Arial"/>
                <w:sz w:val="24"/>
                <w:szCs w:val="24"/>
              </w:rPr>
              <w:t>5</w:t>
            </w:r>
            <w:r w:rsidR="00476B2F">
              <w:rPr>
                <w:rFonts w:ascii="Arial" w:hAnsi="Arial" w:cs="Arial"/>
                <w:sz w:val="24"/>
                <w:szCs w:val="24"/>
              </w:rPr>
              <w:t>/2</w:t>
            </w:r>
            <w:r w:rsidR="00C95750">
              <w:rPr>
                <w:rFonts w:ascii="Arial" w:hAnsi="Arial" w:cs="Arial"/>
                <w:sz w:val="24"/>
                <w:szCs w:val="24"/>
              </w:rPr>
              <w:t>6</w:t>
            </w:r>
            <w:r w:rsidRPr="00517C4B">
              <w:rPr>
                <w:rFonts w:ascii="Arial" w:hAnsi="Arial" w:cs="Arial"/>
                <w:sz w:val="24"/>
                <w:szCs w:val="24"/>
              </w:rPr>
              <w:t>.</w:t>
            </w:r>
          </w:p>
          <w:p w14:paraId="17BFFB64" w14:textId="77777777" w:rsidR="00F5207B" w:rsidRDefault="00F5207B" w:rsidP="00995E23">
            <w:pPr>
              <w:spacing w:after="0" w:line="240" w:lineRule="auto"/>
              <w:jc w:val="both"/>
              <w:rPr>
                <w:rFonts w:ascii="Arial" w:hAnsi="Arial" w:cs="Arial"/>
                <w:sz w:val="24"/>
                <w:szCs w:val="24"/>
              </w:rPr>
            </w:pPr>
          </w:p>
        </w:tc>
      </w:tr>
      <w:tr w:rsidR="00F5207B" w14:paraId="18D64B89" w14:textId="77777777" w:rsidTr="000167AE">
        <w:tc>
          <w:tcPr>
            <w:tcW w:w="684" w:type="dxa"/>
          </w:tcPr>
          <w:p w14:paraId="3BBD22C7" w14:textId="77777777" w:rsidR="00F5207B" w:rsidRDefault="00F5207B" w:rsidP="00B464F5">
            <w:pPr>
              <w:spacing w:after="0" w:line="240" w:lineRule="auto"/>
              <w:rPr>
                <w:rFonts w:ascii="Arial" w:hAnsi="Arial" w:cs="Arial"/>
                <w:b/>
                <w:sz w:val="24"/>
                <w:szCs w:val="24"/>
              </w:rPr>
            </w:pPr>
            <w:r>
              <w:rPr>
                <w:rFonts w:ascii="Arial" w:hAnsi="Arial" w:cs="Arial"/>
                <w:b/>
                <w:sz w:val="24"/>
                <w:szCs w:val="24"/>
              </w:rPr>
              <w:t>2.</w:t>
            </w:r>
          </w:p>
          <w:p w14:paraId="61EC06E1" w14:textId="77777777" w:rsidR="00F5207B" w:rsidRDefault="00F5207B" w:rsidP="00B464F5">
            <w:pPr>
              <w:spacing w:after="0" w:line="240" w:lineRule="auto"/>
              <w:rPr>
                <w:rFonts w:ascii="Arial" w:hAnsi="Arial" w:cs="Arial"/>
                <w:sz w:val="24"/>
                <w:szCs w:val="24"/>
              </w:rPr>
            </w:pPr>
            <w:r>
              <w:rPr>
                <w:rFonts w:ascii="Arial" w:hAnsi="Arial" w:cs="Arial"/>
                <w:sz w:val="24"/>
                <w:szCs w:val="24"/>
              </w:rPr>
              <w:t>2.1</w:t>
            </w:r>
          </w:p>
          <w:p w14:paraId="36D0D6BB" w14:textId="77777777" w:rsidR="00F5207B" w:rsidRDefault="00F5207B" w:rsidP="00B464F5">
            <w:pPr>
              <w:spacing w:after="0" w:line="240" w:lineRule="auto"/>
              <w:rPr>
                <w:rFonts w:ascii="Arial" w:hAnsi="Arial" w:cs="Arial"/>
                <w:sz w:val="24"/>
                <w:szCs w:val="24"/>
              </w:rPr>
            </w:pPr>
          </w:p>
          <w:p w14:paraId="04CA9A7B" w14:textId="77777777" w:rsidR="00F5207B" w:rsidRDefault="00F5207B" w:rsidP="00B464F5">
            <w:pPr>
              <w:spacing w:after="0" w:line="240" w:lineRule="auto"/>
              <w:rPr>
                <w:rFonts w:ascii="Arial" w:hAnsi="Arial" w:cs="Arial"/>
                <w:sz w:val="24"/>
                <w:szCs w:val="24"/>
              </w:rPr>
            </w:pPr>
          </w:p>
          <w:p w14:paraId="6B950C4A" w14:textId="77777777" w:rsidR="00F5207B" w:rsidRDefault="00F5207B" w:rsidP="00B464F5">
            <w:pPr>
              <w:spacing w:after="0" w:line="240" w:lineRule="auto"/>
              <w:rPr>
                <w:rFonts w:ascii="Arial" w:hAnsi="Arial" w:cs="Arial"/>
                <w:sz w:val="24"/>
                <w:szCs w:val="24"/>
              </w:rPr>
            </w:pPr>
          </w:p>
          <w:p w14:paraId="50056825" w14:textId="77777777" w:rsidR="00F5207B" w:rsidRDefault="00F5207B" w:rsidP="00B464F5">
            <w:pPr>
              <w:spacing w:after="0" w:line="240" w:lineRule="auto"/>
              <w:rPr>
                <w:rFonts w:ascii="Arial" w:hAnsi="Arial" w:cs="Arial"/>
                <w:sz w:val="24"/>
                <w:szCs w:val="24"/>
              </w:rPr>
            </w:pPr>
          </w:p>
          <w:p w14:paraId="7A79379E" w14:textId="77777777" w:rsidR="00F5207B" w:rsidRDefault="00F5207B" w:rsidP="00B464F5">
            <w:pPr>
              <w:spacing w:after="0" w:line="240" w:lineRule="auto"/>
              <w:rPr>
                <w:rFonts w:ascii="Arial" w:hAnsi="Arial" w:cs="Arial"/>
                <w:sz w:val="24"/>
                <w:szCs w:val="24"/>
              </w:rPr>
            </w:pPr>
          </w:p>
          <w:p w14:paraId="1757A2FC" w14:textId="77777777" w:rsidR="00CE0303" w:rsidRDefault="00CE0303" w:rsidP="00B464F5">
            <w:pPr>
              <w:spacing w:after="0" w:line="240" w:lineRule="auto"/>
              <w:rPr>
                <w:rFonts w:ascii="Arial" w:hAnsi="Arial" w:cs="Arial"/>
                <w:sz w:val="24"/>
                <w:szCs w:val="24"/>
              </w:rPr>
            </w:pPr>
          </w:p>
          <w:p w14:paraId="18145752" w14:textId="77777777" w:rsidR="00CE0303" w:rsidRDefault="00CE0303" w:rsidP="00B464F5">
            <w:pPr>
              <w:spacing w:after="0" w:line="240" w:lineRule="auto"/>
              <w:rPr>
                <w:rFonts w:ascii="Arial" w:hAnsi="Arial" w:cs="Arial"/>
                <w:sz w:val="24"/>
                <w:szCs w:val="24"/>
              </w:rPr>
            </w:pPr>
          </w:p>
          <w:p w14:paraId="5F6699FD" w14:textId="77777777" w:rsidR="00CE0303" w:rsidRDefault="00CE0303" w:rsidP="00B464F5">
            <w:pPr>
              <w:spacing w:after="0" w:line="240" w:lineRule="auto"/>
              <w:rPr>
                <w:rFonts w:ascii="Arial" w:hAnsi="Arial" w:cs="Arial"/>
                <w:sz w:val="24"/>
                <w:szCs w:val="24"/>
              </w:rPr>
            </w:pPr>
          </w:p>
          <w:p w14:paraId="7E2E5766" w14:textId="77777777" w:rsidR="00CE0303" w:rsidRDefault="00CE0303" w:rsidP="00B464F5">
            <w:pPr>
              <w:spacing w:after="0" w:line="240" w:lineRule="auto"/>
              <w:rPr>
                <w:rFonts w:ascii="Arial" w:hAnsi="Arial" w:cs="Arial"/>
                <w:sz w:val="24"/>
                <w:szCs w:val="24"/>
              </w:rPr>
            </w:pPr>
          </w:p>
          <w:p w14:paraId="52DBD1C0" w14:textId="77777777" w:rsidR="00CE0303" w:rsidRDefault="00CE0303" w:rsidP="00B464F5">
            <w:pPr>
              <w:spacing w:after="0" w:line="240" w:lineRule="auto"/>
              <w:rPr>
                <w:rFonts w:ascii="Arial" w:hAnsi="Arial" w:cs="Arial"/>
                <w:sz w:val="24"/>
                <w:szCs w:val="24"/>
              </w:rPr>
            </w:pPr>
          </w:p>
          <w:p w14:paraId="560A8997" w14:textId="77777777" w:rsidR="00CE0303" w:rsidRDefault="00CE0303" w:rsidP="00B464F5">
            <w:pPr>
              <w:spacing w:after="0" w:line="240" w:lineRule="auto"/>
              <w:rPr>
                <w:rFonts w:ascii="Arial" w:hAnsi="Arial" w:cs="Arial"/>
                <w:sz w:val="24"/>
                <w:szCs w:val="24"/>
              </w:rPr>
            </w:pPr>
          </w:p>
          <w:p w14:paraId="6D4D53B3" w14:textId="77777777" w:rsidR="00CE0303" w:rsidRDefault="00CE0303" w:rsidP="00B464F5">
            <w:pPr>
              <w:spacing w:after="0" w:line="240" w:lineRule="auto"/>
              <w:rPr>
                <w:rFonts w:ascii="Arial" w:hAnsi="Arial" w:cs="Arial"/>
                <w:sz w:val="24"/>
                <w:szCs w:val="24"/>
              </w:rPr>
            </w:pPr>
          </w:p>
          <w:p w14:paraId="4A90DECE" w14:textId="77777777" w:rsidR="00CE0303" w:rsidRDefault="00CE0303" w:rsidP="00B464F5">
            <w:pPr>
              <w:spacing w:after="0" w:line="240" w:lineRule="auto"/>
              <w:rPr>
                <w:rFonts w:ascii="Arial" w:hAnsi="Arial" w:cs="Arial"/>
                <w:sz w:val="24"/>
                <w:szCs w:val="24"/>
              </w:rPr>
            </w:pPr>
          </w:p>
          <w:p w14:paraId="32C06A84" w14:textId="77777777" w:rsidR="00CE0303" w:rsidRDefault="00CE0303" w:rsidP="00B464F5">
            <w:pPr>
              <w:spacing w:after="0" w:line="240" w:lineRule="auto"/>
              <w:rPr>
                <w:rFonts w:ascii="Arial" w:hAnsi="Arial" w:cs="Arial"/>
                <w:sz w:val="24"/>
                <w:szCs w:val="24"/>
              </w:rPr>
            </w:pPr>
          </w:p>
          <w:p w14:paraId="1AC31017" w14:textId="77777777" w:rsidR="000D6331" w:rsidRDefault="000D6331" w:rsidP="00B464F5">
            <w:pPr>
              <w:spacing w:after="0" w:line="240" w:lineRule="auto"/>
              <w:rPr>
                <w:rFonts w:ascii="Arial" w:hAnsi="Arial" w:cs="Arial"/>
                <w:sz w:val="24"/>
                <w:szCs w:val="24"/>
              </w:rPr>
            </w:pPr>
          </w:p>
          <w:p w14:paraId="484CF66E" w14:textId="77777777" w:rsidR="000D6331" w:rsidRDefault="000D6331" w:rsidP="00B464F5">
            <w:pPr>
              <w:spacing w:after="0" w:line="240" w:lineRule="auto"/>
              <w:rPr>
                <w:rFonts w:ascii="Arial" w:hAnsi="Arial" w:cs="Arial"/>
                <w:sz w:val="24"/>
                <w:szCs w:val="24"/>
              </w:rPr>
            </w:pPr>
          </w:p>
          <w:p w14:paraId="4B96BD04" w14:textId="77777777" w:rsidR="00D27D98" w:rsidRDefault="00D27D98" w:rsidP="00B464F5">
            <w:pPr>
              <w:spacing w:after="0" w:line="240" w:lineRule="auto"/>
              <w:rPr>
                <w:rFonts w:ascii="Arial" w:hAnsi="Arial" w:cs="Arial"/>
                <w:sz w:val="24"/>
                <w:szCs w:val="24"/>
              </w:rPr>
            </w:pPr>
          </w:p>
          <w:p w14:paraId="70DE213C" w14:textId="77777777" w:rsidR="00E55F43" w:rsidRDefault="00E55F43" w:rsidP="00B464F5">
            <w:pPr>
              <w:spacing w:after="0" w:line="240" w:lineRule="auto"/>
              <w:rPr>
                <w:rFonts w:ascii="Arial" w:hAnsi="Arial" w:cs="Arial"/>
                <w:sz w:val="24"/>
                <w:szCs w:val="24"/>
              </w:rPr>
            </w:pPr>
          </w:p>
          <w:p w14:paraId="14ADF263" w14:textId="77777777" w:rsidR="00F5207B" w:rsidRDefault="00F5207B" w:rsidP="00B464F5">
            <w:pPr>
              <w:spacing w:after="0" w:line="240" w:lineRule="auto"/>
              <w:rPr>
                <w:rFonts w:ascii="Arial" w:hAnsi="Arial" w:cs="Arial"/>
                <w:sz w:val="24"/>
                <w:szCs w:val="24"/>
              </w:rPr>
            </w:pPr>
            <w:r>
              <w:rPr>
                <w:rFonts w:ascii="Arial" w:hAnsi="Arial" w:cs="Arial"/>
                <w:sz w:val="24"/>
                <w:szCs w:val="24"/>
              </w:rPr>
              <w:t>2.2</w:t>
            </w:r>
          </w:p>
          <w:p w14:paraId="70386F8B" w14:textId="77777777" w:rsidR="00F5207B" w:rsidRDefault="00F5207B" w:rsidP="00B464F5">
            <w:pPr>
              <w:spacing w:after="0" w:line="240" w:lineRule="auto"/>
              <w:rPr>
                <w:rFonts w:ascii="Arial" w:hAnsi="Arial" w:cs="Arial"/>
                <w:sz w:val="24"/>
                <w:szCs w:val="24"/>
              </w:rPr>
            </w:pPr>
          </w:p>
          <w:p w14:paraId="401C0E73" w14:textId="77777777" w:rsidR="00F5207B" w:rsidRDefault="00F5207B" w:rsidP="00B464F5">
            <w:pPr>
              <w:spacing w:after="0" w:line="240" w:lineRule="auto"/>
              <w:rPr>
                <w:rFonts w:ascii="Arial" w:hAnsi="Arial" w:cs="Arial"/>
                <w:sz w:val="24"/>
                <w:szCs w:val="24"/>
              </w:rPr>
            </w:pPr>
          </w:p>
          <w:p w14:paraId="0F631B6F" w14:textId="77777777" w:rsidR="00F5207B" w:rsidRDefault="00F5207B" w:rsidP="00B464F5">
            <w:pPr>
              <w:spacing w:after="0" w:line="240" w:lineRule="auto"/>
              <w:rPr>
                <w:rFonts w:ascii="Arial" w:hAnsi="Arial" w:cs="Arial"/>
                <w:sz w:val="24"/>
                <w:szCs w:val="24"/>
              </w:rPr>
            </w:pPr>
          </w:p>
          <w:p w14:paraId="68203A01" w14:textId="77777777" w:rsidR="00F5207B" w:rsidRDefault="00F5207B" w:rsidP="00B464F5">
            <w:pPr>
              <w:spacing w:after="0" w:line="240" w:lineRule="auto"/>
              <w:rPr>
                <w:rFonts w:ascii="Arial" w:hAnsi="Arial" w:cs="Arial"/>
                <w:sz w:val="24"/>
                <w:szCs w:val="24"/>
              </w:rPr>
            </w:pPr>
          </w:p>
          <w:p w14:paraId="375E198C" w14:textId="77777777" w:rsidR="00CE0303" w:rsidRDefault="00CE0303" w:rsidP="00B464F5">
            <w:pPr>
              <w:spacing w:after="0" w:line="240" w:lineRule="auto"/>
              <w:rPr>
                <w:rFonts w:ascii="Arial" w:hAnsi="Arial" w:cs="Arial"/>
                <w:sz w:val="24"/>
                <w:szCs w:val="24"/>
              </w:rPr>
            </w:pPr>
          </w:p>
          <w:p w14:paraId="3006D9E4" w14:textId="77777777" w:rsidR="00D27D98" w:rsidRDefault="00D27D98" w:rsidP="00B464F5">
            <w:pPr>
              <w:spacing w:after="0" w:line="240" w:lineRule="auto"/>
              <w:rPr>
                <w:rFonts w:ascii="Arial" w:hAnsi="Arial" w:cs="Arial"/>
                <w:sz w:val="24"/>
                <w:szCs w:val="24"/>
              </w:rPr>
            </w:pPr>
          </w:p>
          <w:p w14:paraId="11E1C4FD" w14:textId="77777777" w:rsidR="00D27D98" w:rsidRDefault="00D27D98" w:rsidP="00B464F5">
            <w:pPr>
              <w:spacing w:after="0" w:line="240" w:lineRule="auto"/>
              <w:rPr>
                <w:rFonts w:ascii="Arial" w:hAnsi="Arial" w:cs="Arial"/>
                <w:sz w:val="24"/>
                <w:szCs w:val="24"/>
              </w:rPr>
            </w:pPr>
          </w:p>
          <w:p w14:paraId="1D4EEA7D" w14:textId="77777777" w:rsidR="002C052E" w:rsidRDefault="002C052E" w:rsidP="00B464F5">
            <w:pPr>
              <w:spacing w:after="0" w:line="240" w:lineRule="auto"/>
              <w:rPr>
                <w:rFonts w:ascii="Arial" w:hAnsi="Arial" w:cs="Arial"/>
                <w:sz w:val="24"/>
                <w:szCs w:val="24"/>
              </w:rPr>
            </w:pPr>
          </w:p>
          <w:p w14:paraId="7786894F" w14:textId="77777777" w:rsidR="002C052E" w:rsidRDefault="002C052E" w:rsidP="00B464F5">
            <w:pPr>
              <w:spacing w:after="0" w:line="240" w:lineRule="auto"/>
              <w:rPr>
                <w:rFonts w:ascii="Arial" w:hAnsi="Arial" w:cs="Arial"/>
                <w:sz w:val="24"/>
                <w:szCs w:val="24"/>
              </w:rPr>
            </w:pPr>
          </w:p>
          <w:p w14:paraId="7F4E9BF9" w14:textId="77777777" w:rsidR="002C052E" w:rsidRDefault="002C052E" w:rsidP="00B464F5">
            <w:pPr>
              <w:spacing w:after="0" w:line="240" w:lineRule="auto"/>
              <w:rPr>
                <w:rFonts w:ascii="Arial" w:hAnsi="Arial" w:cs="Arial"/>
                <w:sz w:val="24"/>
                <w:szCs w:val="24"/>
              </w:rPr>
            </w:pPr>
          </w:p>
          <w:p w14:paraId="05C29E77" w14:textId="77777777" w:rsidR="002C052E" w:rsidRDefault="002C052E" w:rsidP="00B464F5">
            <w:pPr>
              <w:spacing w:after="0" w:line="240" w:lineRule="auto"/>
              <w:rPr>
                <w:rFonts w:ascii="Arial" w:hAnsi="Arial" w:cs="Arial"/>
                <w:sz w:val="24"/>
                <w:szCs w:val="24"/>
              </w:rPr>
            </w:pPr>
          </w:p>
          <w:p w14:paraId="233D67C9" w14:textId="7EDEF3CC" w:rsidR="007A2F26" w:rsidRDefault="007A2F26" w:rsidP="00B464F5">
            <w:pPr>
              <w:spacing w:after="0" w:line="240" w:lineRule="auto"/>
              <w:rPr>
                <w:rFonts w:ascii="Arial" w:hAnsi="Arial" w:cs="Arial"/>
                <w:sz w:val="24"/>
                <w:szCs w:val="24"/>
              </w:rPr>
            </w:pPr>
          </w:p>
          <w:p w14:paraId="4A3BC6F4" w14:textId="77777777" w:rsidR="00B464F5" w:rsidRDefault="00B464F5" w:rsidP="00B464F5">
            <w:pPr>
              <w:spacing w:after="0" w:line="240" w:lineRule="auto"/>
              <w:rPr>
                <w:rFonts w:ascii="Arial" w:hAnsi="Arial" w:cs="Arial"/>
                <w:sz w:val="24"/>
                <w:szCs w:val="24"/>
              </w:rPr>
            </w:pPr>
          </w:p>
          <w:p w14:paraId="4F573CB5" w14:textId="77777777" w:rsidR="00F5207B" w:rsidRDefault="00F5207B" w:rsidP="00B464F5">
            <w:pPr>
              <w:spacing w:after="0" w:line="240" w:lineRule="auto"/>
              <w:rPr>
                <w:rFonts w:ascii="Arial" w:hAnsi="Arial" w:cs="Arial"/>
                <w:sz w:val="24"/>
                <w:szCs w:val="24"/>
              </w:rPr>
            </w:pPr>
            <w:r>
              <w:rPr>
                <w:rFonts w:ascii="Arial" w:hAnsi="Arial" w:cs="Arial"/>
                <w:sz w:val="24"/>
                <w:szCs w:val="24"/>
              </w:rPr>
              <w:t>2.3</w:t>
            </w:r>
          </w:p>
          <w:p w14:paraId="60C0DBC5" w14:textId="77777777" w:rsidR="00F5207B" w:rsidRDefault="00F5207B" w:rsidP="00B464F5">
            <w:pPr>
              <w:spacing w:after="0" w:line="240" w:lineRule="auto"/>
              <w:rPr>
                <w:rFonts w:ascii="Arial" w:hAnsi="Arial" w:cs="Arial"/>
                <w:sz w:val="24"/>
                <w:szCs w:val="24"/>
              </w:rPr>
            </w:pPr>
          </w:p>
          <w:p w14:paraId="20D49397" w14:textId="77777777" w:rsidR="00F5207B" w:rsidRDefault="00F5207B" w:rsidP="00B464F5">
            <w:pPr>
              <w:spacing w:after="0" w:line="240" w:lineRule="auto"/>
              <w:rPr>
                <w:rFonts w:ascii="Arial" w:hAnsi="Arial" w:cs="Arial"/>
                <w:sz w:val="24"/>
                <w:szCs w:val="24"/>
              </w:rPr>
            </w:pPr>
          </w:p>
          <w:p w14:paraId="162ECD04" w14:textId="724C6391" w:rsidR="00F5207B" w:rsidRDefault="00F5207B" w:rsidP="00B464F5">
            <w:pPr>
              <w:spacing w:after="0" w:line="240" w:lineRule="auto"/>
              <w:rPr>
                <w:rFonts w:ascii="Arial" w:hAnsi="Arial" w:cs="Arial"/>
                <w:sz w:val="24"/>
                <w:szCs w:val="24"/>
              </w:rPr>
            </w:pPr>
          </w:p>
          <w:p w14:paraId="7794A536" w14:textId="1C930C6B" w:rsidR="00B464F5" w:rsidRDefault="00B464F5" w:rsidP="00B464F5">
            <w:pPr>
              <w:spacing w:after="0" w:line="240" w:lineRule="auto"/>
              <w:rPr>
                <w:rFonts w:ascii="Arial" w:hAnsi="Arial" w:cs="Arial"/>
                <w:sz w:val="24"/>
                <w:szCs w:val="24"/>
              </w:rPr>
            </w:pPr>
          </w:p>
          <w:p w14:paraId="50502BD4" w14:textId="2EAE3E61" w:rsidR="00B464F5" w:rsidRDefault="00B464F5" w:rsidP="00B464F5">
            <w:pPr>
              <w:spacing w:after="0" w:line="240" w:lineRule="auto"/>
              <w:rPr>
                <w:rFonts w:ascii="Arial" w:hAnsi="Arial" w:cs="Arial"/>
                <w:sz w:val="24"/>
                <w:szCs w:val="24"/>
              </w:rPr>
            </w:pPr>
          </w:p>
          <w:p w14:paraId="56474A97" w14:textId="77777777" w:rsidR="00011DD5" w:rsidRDefault="00011DD5" w:rsidP="00B464F5">
            <w:pPr>
              <w:spacing w:after="0" w:line="240" w:lineRule="auto"/>
              <w:rPr>
                <w:rFonts w:ascii="Arial" w:hAnsi="Arial" w:cs="Arial"/>
                <w:sz w:val="24"/>
                <w:szCs w:val="24"/>
              </w:rPr>
            </w:pPr>
          </w:p>
          <w:p w14:paraId="367EBA4C" w14:textId="77777777" w:rsidR="00B464F5" w:rsidRDefault="00B464F5" w:rsidP="00B464F5">
            <w:pPr>
              <w:spacing w:after="0" w:line="240" w:lineRule="auto"/>
              <w:rPr>
                <w:rFonts w:ascii="Arial" w:hAnsi="Arial" w:cs="Arial"/>
                <w:sz w:val="24"/>
                <w:szCs w:val="24"/>
              </w:rPr>
            </w:pPr>
          </w:p>
          <w:p w14:paraId="572801CF" w14:textId="77777777" w:rsidR="00F5207B" w:rsidRPr="006C08C3" w:rsidRDefault="00F5207B" w:rsidP="00B464F5">
            <w:pPr>
              <w:spacing w:after="0" w:line="240" w:lineRule="auto"/>
              <w:rPr>
                <w:rFonts w:ascii="Arial" w:hAnsi="Arial" w:cs="Arial"/>
                <w:sz w:val="24"/>
                <w:szCs w:val="24"/>
              </w:rPr>
            </w:pPr>
            <w:r>
              <w:rPr>
                <w:rFonts w:ascii="Arial" w:hAnsi="Arial" w:cs="Arial"/>
                <w:sz w:val="24"/>
                <w:szCs w:val="24"/>
              </w:rPr>
              <w:t>2</w:t>
            </w:r>
            <w:r w:rsidRPr="006C08C3">
              <w:rPr>
                <w:rFonts w:ascii="Arial" w:hAnsi="Arial" w:cs="Arial"/>
                <w:sz w:val="24"/>
                <w:szCs w:val="24"/>
              </w:rPr>
              <w:t>.4</w:t>
            </w:r>
          </w:p>
          <w:p w14:paraId="34DA3C1D" w14:textId="77777777" w:rsidR="00995E23" w:rsidRPr="003226EE" w:rsidRDefault="00995E23" w:rsidP="00B464F5">
            <w:pPr>
              <w:spacing w:after="0" w:line="240" w:lineRule="auto"/>
              <w:rPr>
                <w:rFonts w:ascii="Arial" w:hAnsi="Arial" w:cs="Arial"/>
                <w:sz w:val="24"/>
                <w:szCs w:val="24"/>
                <w:highlight w:val="yellow"/>
              </w:rPr>
            </w:pPr>
          </w:p>
          <w:p w14:paraId="3340FD2D" w14:textId="77777777" w:rsidR="00995E23" w:rsidRPr="003226EE" w:rsidRDefault="00995E23" w:rsidP="00B464F5">
            <w:pPr>
              <w:spacing w:after="0" w:line="240" w:lineRule="auto"/>
              <w:rPr>
                <w:rFonts w:ascii="Arial" w:hAnsi="Arial" w:cs="Arial"/>
                <w:sz w:val="24"/>
                <w:szCs w:val="24"/>
                <w:highlight w:val="yellow"/>
              </w:rPr>
            </w:pPr>
          </w:p>
          <w:p w14:paraId="6CB6E3F7" w14:textId="61AEBE6D" w:rsidR="00592962" w:rsidRDefault="00592962" w:rsidP="00B464F5">
            <w:pPr>
              <w:spacing w:after="0" w:line="240" w:lineRule="auto"/>
              <w:rPr>
                <w:rFonts w:ascii="Arial" w:hAnsi="Arial" w:cs="Arial"/>
                <w:sz w:val="24"/>
                <w:szCs w:val="24"/>
                <w:highlight w:val="yellow"/>
              </w:rPr>
            </w:pPr>
          </w:p>
          <w:p w14:paraId="40F3E607" w14:textId="77777777" w:rsidR="00011DD5" w:rsidRDefault="00011DD5" w:rsidP="00B464F5">
            <w:pPr>
              <w:spacing w:after="0" w:line="240" w:lineRule="auto"/>
              <w:rPr>
                <w:rFonts w:ascii="Arial" w:hAnsi="Arial" w:cs="Arial"/>
                <w:sz w:val="24"/>
                <w:szCs w:val="24"/>
                <w:highlight w:val="yellow"/>
              </w:rPr>
            </w:pPr>
          </w:p>
          <w:p w14:paraId="23787C50" w14:textId="77777777" w:rsidR="00EC5441" w:rsidRPr="00EC5441" w:rsidRDefault="00EC5441" w:rsidP="00B464F5">
            <w:pPr>
              <w:spacing w:after="0" w:line="240" w:lineRule="auto"/>
              <w:rPr>
                <w:rFonts w:ascii="Arial" w:hAnsi="Arial" w:cs="Arial"/>
                <w:sz w:val="24"/>
                <w:szCs w:val="24"/>
                <w:highlight w:val="yellow"/>
              </w:rPr>
            </w:pPr>
          </w:p>
          <w:p w14:paraId="30AF252C" w14:textId="47DE47C1" w:rsidR="00995E23" w:rsidRPr="006C08C3" w:rsidRDefault="00995E23" w:rsidP="00B464F5">
            <w:pPr>
              <w:spacing w:after="0" w:line="240" w:lineRule="auto"/>
              <w:rPr>
                <w:rFonts w:ascii="Arial" w:hAnsi="Arial" w:cs="Arial"/>
                <w:sz w:val="24"/>
                <w:szCs w:val="24"/>
              </w:rPr>
            </w:pPr>
            <w:r w:rsidRPr="006C08C3">
              <w:rPr>
                <w:rFonts w:ascii="Arial" w:hAnsi="Arial" w:cs="Arial"/>
                <w:sz w:val="24"/>
                <w:szCs w:val="24"/>
              </w:rPr>
              <w:t>2.5</w:t>
            </w:r>
          </w:p>
          <w:p w14:paraId="4A31C560" w14:textId="77777777" w:rsidR="00F5207B" w:rsidRPr="003226EE" w:rsidRDefault="00F5207B" w:rsidP="00B464F5">
            <w:pPr>
              <w:spacing w:after="0" w:line="240" w:lineRule="auto"/>
              <w:rPr>
                <w:rFonts w:ascii="Arial" w:hAnsi="Arial" w:cs="Arial"/>
                <w:sz w:val="24"/>
                <w:szCs w:val="24"/>
                <w:highlight w:val="yellow"/>
              </w:rPr>
            </w:pPr>
          </w:p>
          <w:p w14:paraId="726DDD26" w14:textId="77777777" w:rsidR="00F5207B" w:rsidRDefault="00F5207B" w:rsidP="00B464F5">
            <w:pPr>
              <w:spacing w:after="0" w:line="240" w:lineRule="auto"/>
              <w:rPr>
                <w:rFonts w:ascii="Arial" w:hAnsi="Arial" w:cs="Arial"/>
                <w:sz w:val="24"/>
                <w:szCs w:val="24"/>
                <w:highlight w:val="yellow"/>
              </w:rPr>
            </w:pPr>
          </w:p>
          <w:p w14:paraId="2ADB96CA" w14:textId="77777777" w:rsidR="00011DD5" w:rsidRDefault="00011DD5" w:rsidP="00B464F5">
            <w:pPr>
              <w:spacing w:after="0" w:line="240" w:lineRule="auto"/>
              <w:rPr>
                <w:rFonts w:ascii="Arial" w:hAnsi="Arial" w:cs="Arial"/>
                <w:sz w:val="24"/>
                <w:szCs w:val="24"/>
                <w:highlight w:val="yellow"/>
              </w:rPr>
            </w:pPr>
          </w:p>
          <w:p w14:paraId="4504272B" w14:textId="77777777" w:rsidR="00634A4B" w:rsidRDefault="00634A4B" w:rsidP="00B464F5">
            <w:pPr>
              <w:spacing w:after="0" w:line="240" w:lineRule="auto"/>
              <w:rPr>
                <w:rFonts w:ascii="Arial" w:hAnsi="Arial" w:cs="Arial"/>
                <w:sz w:val="24"/>
                <w:szCs w:val="24"/>
                <w:highlight w:val="yellow"/>
              </w:rPr>
            </w:pPr>
          </w:p>
          <w:p w14:paraId="0E41283A" w14:textId="77777777" w:rsidR="00011DD5" w:rsidRDefault="00011DD5" w:rsidP="00B464F5">
            <w:pPr>
              <w:spacing w:after="0" w:line="240" w:lineRule="auto"/>
              <w:rPr>
                <w:rFonts w:ascii="Arial" w:hAnsi="Arial" w:cs="Arial"/>
                <w:sz w:val="24"/>
                <w:szCs w:val="24"/>
                <w:highlight w:val="yellow"/>
              </w:rPr>
            </w:pPr>
          </w:p>
          <w:p w14:paraId="4474F141" w14:textId="77777777" w:rsidR="00011DD5" w:rsidRPr="003226EE" w:rsidRDefault="00011DD5" w:rsidP="00B464F5">
            <w:pPr>
              <w:spacing w:after="0" w:line="240" w:lineRule="auto"/>
              <w:rPr>
                <w:rFonts w:ascii="Arial" w:hAnsi="Arial" w:cs="Arial"/>
                <w:sz w:val="24"/>
                <w:szCs w:val="24"/>
                <w:highlight w:val="yellow"/>
              </w:rPr>
            </w:pPr>
          </w:p>
          <w:p w14:paraId="372B83F2" w14:textId="0AB99E81" w:rsidR="002C052E" w:rsidRPr="006C08C3" w:rsidRDefault="00995E23" w:rsidP="00B464F5">
            <w:pPr>
              <w:spacing w:after="0" w:line="240" w:lineRule="auto"/>
              <w:rPr>
                <w:rFonts w:ascii="Arial" w:hAnsi="Arial" w:cs="Arial"/>
                <w:bCs/>
                <w:sz w:val="24"/>
                <w:szCs w:val="24"/>
              </w:rPr>
            </w:pPr>
            <w:r w:rsidRPr="006C08C3">
              <w:rPr>
                <w:rFonts w:ascii="Arial" w:hAnsi="Arial" w:cs="Arial"/>
                <w:bCs/>
                <w:sz w:val="24"/>
                <w:szCs w:val="24"/>
              </w:rPr>
              <w:t>2.6</w:t>
            </w:r>
          </w:p>
          <w:p w14:paraId="0E027409" w14:textId="0F2A4774" w:rsidR="00B464F5" w:rsidRPr="003226EE" w:rsidRDefault="00B464F5" w:rsidP="00B464F5">
            <w:pPr>
              <w:spacing w:after="0" w:line="240" w:lineRule="auto"/>
              <w:rPr>
                <w:rFonts w:ascii="Arial" w:hAnsi="Arial" w:cs="Arial"/>
                <w:bCs/>
                <w:sz w:val="24"/>
                <w:szCs w:val="24"/>
                <w:highlight w:val="yellow"/>
              </w:rPr>
            </w:pPr>
          </w:p>
          <w:p w14:paraId="6403D9DF" w14:textId="02CA2AB7" w:rsidR="00B464F5" w:rsidRPr="003226EE" w:rsidRDefault="00B464F5" w:rsidP="00B464F5">
            <w:pPr>
              <w:spacing w:after="0" w:line="240" w:lineRule="auto"/>
              <w:rPr>
                <w:rFonts w:ascii="Arial" w:hAnsi="Arial" w:cs="Arial"/>
                <w:bCs/>
                <w:sz w:val="24"/>
                <w:szCs w:val="24"/>
                <w:highlight w:val="yellow"/>
              </w:rPr>
            </w:pPr>
          </w:p>
          <w:p w14:paraId="20D554C5" w14:textId="3321DC71" w:rsidR="00B464F5" w:rsidRPr="003226EE" w:rsidRDefault="00B464F5" w:rsidP="00B464F5">
            <w:pPr>
              <w:spacing w:after="0" w:line="240" w:lineRule="auto"/>
              <w:rPr>
                <w:rFonts w:ascii="Arial" w:hAnsi="Arial" w:cs="Arial"/>
                <w:bCs/>
                <w:sz w:val="24"/>
                <w:szCs w:val="24"/>
                <w:highlight w:val="yellow"/>
              </w:rPr>
            </w:pPr>
          </w:p>
          <w:p w14:paraId="3512A17C" w14:textId="6B5F9348" w:rsidR="00B464F5" w:rsidRDefault="00B464F5" w:rsidP="00B464F5">
            <w:pPr>
              <w:spacing w:after="0" w:line="240" w:lineRule="auto"/>
              <w:rPr>
                <w:rFonts w:ascii="Arial" w:hAnsi="Arial" w:cs="Arial"/>
                <w:bCs/>
                <w:sz w:val="24"/>
                <w:szCs w:val="24"/>
                <w:highlight w:val="yellow"/>
              </w:rPr>
            </w:pPr>
          </w:p>
          <w:p w14:paraId="4CA20ED1" w14:textId="4AA9DE7C" w:rsidR="005E258F" w:rsidRDefault="005E258F" w:rsidP="00B464F5">
            <w:pPr>
              <w:spacing w:after="0" w:line="240" w:lineRule="auto"/>
              <w:rPr>
                <w:rFonts w:ascii="Arial" w:hAnsi="Arial" w:cs="Arial"/>
                <w:bCs/>
                <w:sz w:val="24"/>
                <w:szCs w:val="24"/>
                <w:highlight w:val="yellow"/>
              </w:rPr>
            </w:pPr>
          </w:p>
          <w:p w14:paraId="71C91E40" w14:textId="3A49E069" w:rsidR="005E258F" w:rsidRDefault="005E258F" w:rsidP="00B464F5">
            <w:pPr>
              <w:spacing w:after="0" w:line="240" w:lineRule="auto"/>
              <w:rPr>
                <w:rFonts w:ascii="Arial" w:hAnsi="Arial" w:cs="Arial"/>
                <w:bCs/>
                <w:sz w:val="24"/>
                <w:szCs w:val="24"/>
                <w:highlight w:val="yellow"/>
              </w:rPr>
            </w:pPr>
          </w:p>
          <w:p w14:paraId="3F32EA73" w14:textId="77777777" w:rsidR="005E258F" w:rsidRPr="00EC5441" w:rsidRDefault="005E258F" w:rsidP="00B464F5">
            <w:pPr>
              <w:spacing w:after="0" w:line="240" w:lineRule="auto"/>
              <w:rPr>
                <w:rFonts w:ascii="Arial" w:hAnsi="Arial" w:cs="Arial"/>
                <w:bCs/>
                <w:sz w:val="24"/>
                <w:szCs w:val="24"/>
                <w:highlight w:val="yellow"/>
              </w:rPr>
            </w:pPr>
          </w:p>
          <w:p w14:paraId="29EFC636" w14:textId="6E93BF89" w:rsidR="00B464F5" w:rsidRPr="00EC5441" w:rsidRDefault="00B464F5" w:rsidP="00B464F5">
            <w:pPr>
              <w:spacing w:after="0" w:line="240" w:lineRule="auto"/>
              <w:rPr>
                <w:rFonts w:ascii="Arial" w:hAnsi="Arial" w:cs="Arial"/>
                <w:bCs/>
                <w:sz w:val="24"/>
                <w:szCs w:val="24"/>
                <w:highlight w:val="yellow"/>
              </w:rPr>
            </w:pPr>
          </w:p>
          <w:p w14:paraId="3527D445" w14:textId="70B66A2D" w:rsidR="00B464F5" w:rsidRPr="006C08C3" w:rsidRDefault="00B464F5" w:rsidP="00B464F5">
            <w:pPr>
              <w:spacing w:after="0" w:line="240" w:lineRule="auto"/>
              <w:rPr>
                <w:rFonts w:ascii="Arial" w:hAnsi="Arial" w:cs="Arial"/>
                <w:bCs/>
                <w:sz w:val="24"/>
                <w:szCs w:val="24"/>
              </w:rPr>
            </w:pPr>
            <w:r w:rsidRPr="006C08C3">
              <w:rPr>
                <w:rFonts w:ascii="Arial" w:hAnsi="Arial" w:cs="Arial"/>
                <w:bCs/>
                <w:sz w:val="24"/>
                <w:szCs w:val="24"/>
              </w:rPr>
              <w:t>2.7</w:t>
            </w:r>
          </w:p>
          <w:p w14:paraId="211428E0" w14:textId="1D70DBD7" w:rsidR="00B464F5" w:rsidRPr="003226EE" w:rsidRDefault="00B464F5" w:rsidP="00B464F5">
            <w:pPr>
              <w:spacing w:after="0" w:line="240" w:lineRule="auto"/>
              <w:rPr>
                <w:rFonts w:ascii="Arial" w:hAnsi="Arial" w:cs="Arial"/>
                <w:bCs/>
                <w:sz w:val="24"/>
                <w:szCs w:val="24"/>
                <w:highlight w:val="yellow"/>
              </w:rPr>
            </w:pPr>
          </w:p>
          <w:p w14:paraId="0DAE7F01" w14:textId="7A4B102B" w:rsidR="00B464F5" w:rsidRPr="003226EE" w:rsidRDefault="00B464F5" w:rsidP="00B464F5">
            <w:pPr>
              <w:spacing w:after="0" w:line="240" w:lineRule="auto"/>
              <w:rPr>
                <w:rFonts w:ascii="Arial" w:hAnsi="Arial" w:cs="Arial"/>
                <w:bCs/>
                <w:sz w:val="24"/>
                <w:szCs w:val="24"/>
                <w:highlight w:val="yellow"/>
              </w:rPr>
            </w:pPr>
          </w:p>
          <w:p w14:paraId="2CB8346A" w14:textId="31BF847A" w:rsidR="00B464F5" w:rsidRPr="003226EE" w:rsidRDefault="00B464F5" w:rsidP="00B464F5">
            <w:pPr>
              <w:spacing w:after="0" w:line="240" w:lineRule="auto"/>
              <w:rPr>
                <w:rFonts w:ascii="Arial" w:hAnsi="Arial" w:cs="Arial"/>
                <w:bCs/>
                <w:sz w:val="24"/>
                <w:szCs w:val="24"/>
                <w:highlight w:val="yellow"/>
              </w:rPr>
            </w:pPr>
          </w:p>
          <w:p w14:paraId="1B49F81E" w14:textId="7FC0486C" w:rsidR="00B464F5" w:rsidRPr="003226EE" w:rsidRDefault="00B464F5" w:rsidP="00B464F5">
            <w:pPr>
              <w:spacing w:after="0" w:line="240" w:lineRule="auto"/>
              <w:rPr>
                <w:rFonts w:ascii="Arial" w:hAnsi="Arial" w:cs="Arial"/>
                <w:bCs/>
                <w:sz w:val="24"/>
                <w:szCs w:val="24"/>
                <w:highlight w:val="yellow"/>
              </w:rPr>
            </w:pPr>
          </w:p>
          <w:p w14:paraId="0EA759EA" w14:textId="526FCE4B" w:rsidR="00B464F5" w:rsidRPr="003226EE" w:rsidRDefault="00B464F5" w:rsidP="00B464F5">
            <w:pPr>
              <w:spacing w:after="0" w:line="240" w:lineRule="auto"/>
              <w:rPr>
                <w:rFonts w:ascii="Arial" w:hAnsi="Arial" w:cs="Arial"/>
                <w:bCs/>
                <w:sz w:val="24"/>
                <w:szCs w:val="24"/>
                <w:highlight w:val="yellow"/>
              </w:rPr>
            </w:pPr>
          </w:p>
          <w:p w14:paraId="2649E4EB" w14:textId="3301E5B6" w:rsidR="0038472A" w:rsidRPr="003226EE" w:rsidRDefault="0038472A" w:rsidP="00B464F5">
            <w:pPr>
              <w:spacing w:after="0" w:line="240" w:lineRule="auto"/>
              <w:rPr>
                <w:rFonts w:ascii="Arial" w:hAnsi="Arial" w:cs="Arial"/>
                <w:bCs/>
                <w:sz w:val="24"/>
                <w:szCs w:val="24"/>
                <w:highlight w:val="yellow"/>
              </w:rPr>
            </w:pPr>
          </w:p>
          <w:p w14:paraId="6AD63515" w14:textId="366D5EE7" w:rsidR="0038472A" w:rsidRPr="003226EE" w:rsidRDefault="0038472A" w:rsidP="00B464F5">
            <w:pPr>
              <w:spacing w:after="0" w:line="240" w:lineRule="auto"/>
              <w:rPr>
                <w:rFonts w:ascii="Arial" w:hAnsi="Arial" w:cs="Arial"/>
                <w:bCs/>
                <w:sz w:val="24"/>
                <w:szCs w:val="24"/>
                <w:highlight w:val="yellow"/>
              </w:rPr>
            </w:pPr>
          </w:p>
          <w:p w14:paraId="508951F1" w14:textId="3F196B0F" w:rsidR="00B464F5" w:rsidRDefault="00B464F5" w:rsidP="00B464F5">
            <w:pPr>
              <w:spacing w:after="0" w:line="240" w:lineRule="auto"/>
              <w:rPr>
                <w:rFonts w:ascii="Arial" w:hAnsi="Arial" w:cs="Arial"/>
                <w:bCs/>
                <w:sz w:val="24"/>
                <w:szCs w:val="24"/>
              </w:rPr>
            </w:pPr>
          </w:p>
          <w:p w14:paraId="4D2CF67D" w14:textId="77777777" w:rsidR="00B464F5" w:rsidRPr="00995E23" w:rsidRDefault="00B464F5" w:rsidP="00B464F5">
            <w:pPr>
              <w:spacing w:after="0" w:line="240" w:lineRule="auto"/>
              <w:rPr>
                <w:rFonts w:ascii="Arial" w:hAnsi="Arial" w:cs="Arial"/>
                <w:bCs/>
                <w:sz w:val="24"/>
                <w:szCs w:val="24"/>
              </w:rPr>
            </w:pPr>
          </w:p>
          <w:p w14:paraId="1B71B9C7" w14:textId="77777777" w:rsidR="00D27D98" w:rsidRDefault="00D27D98" w:rsidP="00B464F5">
            <w:pPr>
              <w:spacing w:after="0" w:line="240" w:lineRule="auto"/>
              <w:rPr>
                <w:rFonts w:ascii="Arial" w:hAnsi="Arial" w:cs="Arial"/>
                <w:b/>
                <w:sz w:val="24"/>
                <w:szCs w:val="24"/>
              </w:rPr>
            </w:pPr>
          </w:p>
          <w:p w14:paraId="74F0B91E" w14:textId="77777777" w:rsidR="00D27D98" w:rsidRPr="00D27D98" w:rsidRDefault="00D27D98" w:rsidP="00B464F5">
            <w:pPr>
              <w:spacing w:after="0" w:line="240" w:lineRule="auto"/>
              <w:rPr>
                <w:rFonts w:ascii="Arial" w:hAnsi="Arial" w:cs="Arial"/>
                <w:sz w:val="24"/>
                <w:szCs w:val="24"/>
              </w:rPr>
            </w:pPr>
          </w:p>
        </w:tc>
        <w:tc>
          <w:tcPr>
            <w:tcW w:w="8376" w:type="dxa"/>
          </w:tcPr>
          <w:p w14:paraId="51FAAC15" w14:textId="53A7F500" w:rsidR="00F5207B" w:rsidRPr="00995E23" w:rsidRDefault="00F5207B" w:rsidP="00B464F5">
            <w:pPr>
              <w:autoSpaceDE w:val="0"/>
              <w:autoSpaceDN w:val="0"/>
              <w:adjustRightInd w:val="0"/>
              <w:spacing w:after="0" w:line="240" w:lineRule="auto"/>
              <w:jc w:val="both"/>
              <w:rPr>
                <w:rFonts w:ascii="Arial" w:hAnsi="Arial" w:cs="Arial"/>
                <w:b/>
                <w:bCs/>
                <w:sz w:val="24"/>
                <w:szCs w:val="24"/>
                <w:u w:val="single"/>
              </w:rPr>
            </w:pPr>
            <w:r w:rsidRPr="00995E23">
              <w:rPr>
                <w:rFonts w:ascii="Arial" w:hAnsi="Arial" w:cs="Arial"/>
                <w:b/>
                <w:bCs/>
                <w:sz w:val="24"/>
                <w:szCs w:val="24"/>
                <w:u w:val="single"/>
              </w:rPr>
              <w:lastRenderedPageBreak/>
              <w:t>INTRODUCTION</w:t>
            </w:r>
          </w:p>
          <w:p w14:paraId="18A888F5" w14:textId="1DE95925" w:rsidR="003F1F1B" w:rsidRDefault="003F1F1B" w:rsidP="00B464F5">
            <w:pPr>
              <w:pStyle w:val="ListParagraph"/>
              <w:autoSpaceDE w:val="0"/>
              <w:autoSpaceDN w:val="0"/>
              <w:adjustRightInd w:val="0"/>
              <w:ind w:left="0"/>
              <w:jc w:val="both"/>
              <w:rPr>
                <w:rFonts w:ascii="Arial" w:hAnsi="Arial" w:cs="Arial"/>
                <w:lang w:eastAsia="en-US"/>
              </w:rPr>
            </w:pPr>
            <w:r>
              <w:rPr>
                <w:rFonts w:ascii="Arial" w:hAnsi="Arial" w:cs="Arial"/>
                <w:lang w:eastAsia="en-US"/>
              </w:rPr>
              <w:t xml:space="preserve">The current Medium Term Financial Projections (MTFP) </w:t>
            </w:r>
            <w:r w:rsidR="00915CC1">
              <w:rPr>
                <w:rFonts w:ascii="Arial" w:hAnsi="Arial" w:cs="Arial"/>
                <w:lang w:eastAsia="en-US"/>
              </w:rPr>
              <w:t>(Appendi</w:t>
            </w:r>
            <w:r w:rsidR="005709F0">
              <w:rPr>
                <w:rFonts w:ascii="Arial" w:hAnsi="Arial" w:cs="Arial"/>
                <w:lang w:eastAsia="en-US"/>
              </w:rPr>
              <w:t>x</w:t>
            </w:r>
            <w:r w:rsidR="00915CC1">
              <w:rPr>
                <w:rFonts w:ascii="Arial" w:hAnsi="Arial" w:cs="Arial"/>
                <w:lang w:eastAsia="en-US"/>
              </w:rPr>
              <w:t xml:space="preserve"> 1) </w:t>
            </w:r>
            <w:r>
              <w:rPr>
                <w:rFonts w:ascii="Arial" w:hAnsi="Arial" w:cs="Arial"/>
                <w:lang w:eastAsia="en-US"/>
              </w:rPr>
              <w:t xml:space="preserve">currently forecasts on-going </w:t>
            </w:r>
            <w:r w:rsidR="00BF198E">
              <w:rPr>
                <w:rFonts w:ascii="Arial" w:hAnsi="Arial" w:cs="Arial"/>
                <w:lang w:eastAsia="en-US"/>
              </w:rPr>
              <w:t>financial challenges</w:t>
            </w:r>
            <w:r>
              <w:rPr>
                <w:rFonts w:ascii="Arial" w:hAnsi="Arial" w:cs="Arial"/>
                <w:lang w:eastAsia="en-US"/>
              </w:rPr>
              <w:t xml:space="preserve"> until at least 20</w:t>
            </w:r>
            <w:r w:rsidR="000D6331">
              <w:rPr>
                <w:rFonts w:ascii="Arial" w:hAnsi="Arial" w:cs="Arial"/>
                <w:lang w:eastAsia="en-US"/>
              </w:rPr>
              <w:t>2</w:t>
            </w:r>
            <w:r w:rsidR="00C95750">
              <w:rPr>
                <w:rFonts w:ascii="Arial" w:hAnsi="Arial" w:cs="Arial"/>
                <w:lang w:eastAsia="en-US"/>
              </w:rPr>
              <w:t>9</w:t>
            </w:r>
            <w:r>
              <w:rPr>
                <w:rFonts w:ascii="Arial" w:hAnsi="Arial" w:cs="Arial"/>
                <w:lang w:eastAsia="en-US"/>
              </w:rPr>
              <w:t>/</w:t>
            </w:r>
            <w:r w:rsidR="00C95750">
              <w:rPr>
                <w:rFonts w:ascii="Arial" w:hAnsi="Arial" w:cs="Arial"/>
                <w:lang w:eastAsia="en-US"/>
              </w:rPr>
              <w:t>30</w:t>
            </w:r>
            <w:r>
              <w:rPr>
                <w:rFonts w:ascii="Arial" w:hAnsi="Arial" w:cs="Arial"/>
                <w:lang w:eastAsia="en-US"/>
              </w:rPr>
              <w:t xml:space="preserve"> and potentially beyond.  The basis for these projections </w:t>
            </w:r>
            <w:r w:rsidR="002C47BD">
              <w:rPr>
                <w:rFonts w:ascii="Arial" w:hAnsi="Arial" w:cs="Arial"/>
                <w:lang w:eastAsia="en-US"/>
              </w:rPr>
              <w:t>is</w:t>
            </w:r>
            <w:r>
              <w:rPr>
                <w:rFonts w:ascii="Arial" w:hAnsi="Arial" w:cs="Arial"/>
                <w:lang w:eastAsia="en-US"/>
              </w:rPr>
              <w:t xml:space="preserve"> taken from a number of Governmental and non-Governme</w:t>
            </w:r>
            <w:r w:rsidR="004E2763">
              <w:rPr>
                <w:rFonts w:ascii="Arial" w:hAnsi="Arial" w:cs="Arial"/>
                <w:lang w:eastAsia="en-US"/>
              </w:rPr>
              <w:t>n</w:t>
            </w:r>
            <w:r>
              <w:rPr>
                <w:rFonts w:ascii="Arial" w:hAnsi="Arial" w:cs="Arial"/>
                <w:lang w:eastAsia="en-US"/>
              </w:rPr>
              <w:t>tal sou</w:t>
            </w:r>
            <w:r w:rsidR="004E2763">
              <w:rPr>
                <w:rFonts w:ascii="Arial" w:hAnsi="Arial" w:cs="Arial"/>
                <w:lang w:eastAsia="en-US"/>
              </w:rPr>
              <w:t>rc</w:t>
            </w:r>
            <w:r>
              <w:rPr>
                <w:rFonts w:ascii="Arial" w:hAnsi="Arial" w:cs="Arial"/>
                <w:lang w:eastAsia="en-US"/>
              </w:rPr>
              <w:t>es such as:</w:t>
            </w:r>
          </w:p>
          <w:p w14:paraId="149AE4FD" w14:textId="77777777" w:rsidR="003F1F1B" w:rsidRDefault="003F1F1B" w:rsidP="00B464F5">
            <w:pPr>
              <w:pStyle w:val="ListParagraph"/>
              <w:autoSpaceDE w:val="0"/>
              <w:autoSpaceDN w:val="0"/>
              <w:adjustRightInd w:val="0"/>
              <w:ind w:left="0"/>
              <w:jc w:val="both"/>
              <w:rPr>
                <w:rFonts w:ascii="Arial" w:hAnsi="Arial" w:cs="Arial"/>
                <w:lang w:eastAsia="en-US"/>
              </w:rPr>
            </w:pPr>
          </w:p>
          <w:p w14:paraId="154F8A6A" w14:textId="2A448565" w:rsidR="000D6331"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20</w:t>
            </w:r>
            <w:r w:rsidR="00BF198E" w:rsidRPr="00E30BD3">
              <w:rPr>
                <w:rFonts w:ascii="Arial" w:hAnsi="Arial" w:cs="Arial"/>
                <w:lang w:eastAsia="en-US"/>
              </w:rPr>
              <w:t>21</w:t>
            </w:r>
            <w:r w:rsidRPr="00E30BD3">
              <w:rPr>
                <w:rFonts w:ascii="Arial" w:hAnsi="Arial" w:cs="Arial"/>
                <w:lang w:eastAsia="en-US"/>
              </w:rPr>
              <w:t xml:space="preserve"> </w:t>
            </w:r>
            <w:r w:rsidR="00E367E2">
              <w:rPr>
                <w:rFonts w:ascii="Arial" w:hAnsi="Arial" w:cs="Arial"/>
                <w:lang w:eastAsia="en-US"/>
              </w:rPr>
              <w:t xml:space="preserve">3-year </w:t>
            </w:r>
            <w:r w:rsidRPr="00E30BD3">
              <w:rPr>
                <w:rFonts w:ascii="Arial" w:hAnsi="Arial" w:cs="Arial"/>
                <w:lang w:eastAsia="en-US"/>
              </w:rPr>
              <w:t>Comprehensive Spending Review</w:t>
            </w:r>
            <w:r w:rsidR="00F41709" w:rsidRPr="00E30BD3">
              <w:rPr>
                <w:rFonts w:ascii="Arial" w:hAnsi="Arial" w:cs="Arial"/>
                <w:lang w:eastAsia="en-US"/>
              </w:rPr>
              <w:t xml:space="preserve"> (CSR)</w:t>
            </w:r>
            <w:r w:rsidRPr="00E30BD3">
              <w:rPr>
                <w:rFonts w:ascii="Arial" w:hAnsi="Arial" w:cs="Arial"/>
                <w:lang w:eastAsia="en-US"/>
              </w:rPr>
              <w:t>;</w:t>
            </w:r>
          </w:p>
          <w:p w14:paraId="277DC972" w14:textId="5365C836" w:rsidR="004E2763" w:rsidRPr="00E30BD3" w:rsidRDefault="00886BEC"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T</w:t>
            </w:r>
            <w:r w:rsidR="003F1F1B" w:rsidRPr="00E30BD3">
              <w:rPr>
                <w:rFonts w:ascii="Arial" w:hAnsi="Arial" w:cs="Arial"/>
                <w:lang w:eastAsia="en-US"/>
              </w:rPr>
              <w:t xml:space="preserve">he Chancellor’s </w:t>
            </w:r>
            <w:r w:rsidR="00BF198E" w:rsidRPr="00E30BD3">
              <w:rPr>
                <w:rFonts w:ascii="Arial" w:hAnsi="Arial" w:cs="Arial"/>
                <w:lang w:eastAsia="en-US"/>
              </w:rPr>
              <w:t xml:space="preserve">Autumn </w:t>
            </w:r>
            <w:r w:rsidR="001F40EE" w:rsidRPr="00E30BD3">
              <w:rPr>
                <w:rFonts w:ascii="Arial" w:hAnsi="Arial" w:cs="Arial"/>
                <w:lang w:eastAsia="en-US"/>
              </w:rPr>
              <w:t xml:space="preserve">Statement </w:t>
            </w:r>
            <w:r w:rsidR="000D6331" w:rsidRPr="00E30BD3">
              <w:rPr>
                <w:rFonts w:ascii="Arial" w:hAnsi="Arial" w:cs="Arial"/>
                <w:lang w:eastAsia="en-US"/>
              </w:rPr>
              <w:t>20</w:t>
            </w:r>
            <w:r w:rsidR="0073229F" w:rsidRPr="00E30BD3">
              <w:rPr>
                <w:rFonts w:ascii="Arial" w:hAnsi="Arial" w:cs="Arial"/>
                <w:lang w:eastAsia="en-US"/>
              </w:rPr>
              <w:t>2</w:t>
            </w:r>
            <w:r w:rsidR="00C95750">
              <w:rPr>
                <w:rFonts w:ascii="Arial" w:hAnsi="Arial" w:cs="Arial"/>
                <w:lang w:eastAsia="en-US"/>
              </w:rPr>
              <w:t>4</w:t>
            </w:r>
            <w:r w:rsidR="004E2763" w:rsidRPr="00E30BD3">
              <w:rPr>
                <w:rFonts w:ascii="Arial" w:hAnsi="Arial" w:cs="Arial"/>
                <w:lang w:eastAsia="en-US"/>
              </w:rPr>
              <w:t>;</w:t>
            </w:r>
          </w:p>
          <w:p w14:paraId="1FA5D217" w14:textId="76CE8140" w:rsidR="004E2763"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Final Police Funding Settlement 20</w:t>
            </w:r>
            <w:r w:rsidR="0073229F" w:rsidRPr="00E30BD3">
              <w:rPr>
                <w:rFonts w:ascii="Arial" w:hAnsi="Arial" w:cs="Arial"/>
                <w:lang w:eastAsia="en-US"/>
              </w:rPr>
              <w:t>2</w:t>
            </w:r>
            <w:r w:rsidR="00634A4B">
              <w:rPr>
                <w:rFonts w:ascii="Arial" w:hAnsi="Arial" w:cs="Arial"/>
                <w:lang w:eastAsia="en-US"/>
              </w:rPr>
              <w:t>4</w:t>
            </w:r>
            <w:r w:rsidR="0047722F">
              <w:rPr>
                <w:rFonts w:ascii="Arial" w:hAnsi="Arial" w:cs="Arial"/>
                <w:lang w:eastAsia="en-US"/>
              </w:rPr>
              <w:t>/2</w:t>
            </w:r>
            <w:r w:rsidR="00634A4B">
              <w:rPr>
                <w:rFonts w:ascii="Arial" w:hAnsi="Arial" w:cs="Arial"/>
                <w:lang w:eastAsia="en-US"/>
              </w:rPr>
              <w:t>5</w:t>
            </w:r>
            <w:r w:rsidRPr="00E30BD3">
              <w:rPr>
                <w:rFonts w:ascii="Arial" w:hAnsi="Arial" w:cs="Arial"/>
                <w:lang w:eastAsia="en-US"/>
              </w:rPr>
              <w:t>;</w:t>
            </w:r>
          </w:p>
          <w:p w14:paraId="37796E42" w14:textId="2DFDAB15" w:rsidR="004E2763" w:rsidRPr="00E30BD3" w:rsidRDefault="004E2763"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Liaison with Home Office</w:t>
            </w:r>
            <w:r w:rsidR="00BF198E" w:rsidRPr="00E30BD3">
              <w:rPr>
                <w:rFonts w:ascii="Arial" w:hAnsi="Arial" w:cs="Arial"/>
                <w:lang w:eastAsia="en-US"/>
              </w:rPr>
              <w:t xml:space="preserve"> (HO)</w:t>
            </w:r>
            <w:r w:rsidRPr="00E30BD3">
              <w:rPr>
                <w:rFonts w:ascii="Arial" w:hAnsi="Arial" w:cs="Arial"/>
                <w:lang w:eastAsia="en-US"/>
              </w:rPr>
              <w:t xml:space="preserve"> and Ministry of Justice </w:t>
            </w:r>
            <w:r w:rsidR="00BF198E" w:rsidRPr="00E30BD3">
              <w:rPr>
                <w:rFonts w:ascii="Arial" w:hAnsi="Arial" w:cs="Arial"/>
                <w:lang w:eastAsia="en-US"/>
              </w:rPr>
              <w:t>(</w:t>
            </w:r>
            <w:proofErr w:type="spellStart"/>
            <w:r w:rsidR="00BF198E" w:rsidRPr="00E30BD3">
              <w:rPr>
                <w:rFonts w:ascii="Arial" w:hAnsi="Arial" w:cs="Arial"/>
                <w:lang w:eastAsia="en-US"/>
              </w:rPr>
              <w:t>MoJ</w:t>
            </w:r>
            <w:proofErr w:type="spellEnd"/>
            <w:r w:rsidR="00BF198E" w:rsidRPr="00E30BD3">
              <w:rPr>
                <w:rFonts w:ascii="Arial" w:hAnsi="Arial" w:cs="Arial"/>
                <w:lang w:eastAsia="en-US"/>
              </w:rPr>
              <w:t xml:space="preserve">) </w:t>
            </w:r>
            <w:r w:rsidRPr="00E30BD3">
              <w:rPr>
                <w:rFonts w:ascii="Arial" w:hAnsi="Arial" w:cs="Arial"/>
                <w:lang w:eastAsia="en-US"/>
              </w:rPr>
              <w:t>officials;</w:t>
            </w:r>
          </w:p>
          <w:p w14:paraId="4887B2C4" w14:textId="77777777" w:rsidR="000D6331" w:rsidRPr="00E30BD3" w:rsidRDefault="000D6331"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Bank of England (BoE) economic forecasts;</w:t>
            </w:r>
          </w:p>
          <w:p w14:paraId="18E1EC69" w14:textId="6E464667" w:rsidR="004E2763"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Institute of Fisc</w:t>
            </w:r>
            <w:r w:rsidR="004E2763" w:rsidRPr="00E30BD3">
              <w:rPr>
                <w:rFonts w:ascii="Arial" w:hAnsi="Arial" w:cs="Arial"/>
                <w:lang w:eastAsia="en-US"/>
              </w:rPr>
              <w:t>a</w:t>
            </w:r>
            <w:r w:rsidRPr="00E30BD3">
              <w:rPr>
                <w:rFonts w:ascii="Arial" w:hAnsi="Arial" w:cs="Arial"/>
                <w:lang w:eastAsia="en-US"/>
              </w:rPr>
              <w:t>l St</w:t>
            </w:r>
            <w:r w:rsidR="004E2763" w:rsidRPr="00E30BD3">
              <w:rPr>
                <w:rFonts w:ascii="Arial" w:hAnsi="Arial" w:cs="Arial"/>
                <w:lang w:eastAsia="en-US"/>
              </w:rPr>
              <w:t>u</w:t>
            </w:r>
            <w:r w:rsidRPr="00E30BD3">
              <w:rPr>
                <w:rFonts w:ascii="Arial" w:hAnsi="Arial" w:cs="Arial"/>
                <w:lang w:eastAsia="en-US"/>
              </w:rPr>
              <w:t xml:space="preserve">dies (IFS) </w:t>
            </w:r>
            <w:r w:rsidR="00E3379F" w:rsidRPr="00E30BD3">
              <w:rPr>
                <w:rFonts w:ascii="Arial" w:hAnsi="Arial" w:cs="Arial"/>
                <w:lang w:eastAsia="en-US"/>
              </w:rPr>
              <w:t>a</w:t>
            </w:r>
            <w:r w:rsidRPr="00E30BD3">
              <w:rPr>
                <w:rFonts w:ascii="Arial" w:hAnsi="Arial" w:cs="Arial"/>
                <w:lang w:eastAsia="en-US"/>
              </w:rPr>
              <w:t>nalysis</w:t>
            </w:r>
            <w:r w:rsidR="004E2763" w:rsidRPr="00E30BD3">
              <w:rPr>
                <w:rFonts w:ascii="Arial" w:hAnsi="Arial" w:cs="Arial"/>
                <w:lang w:eastAsia="en-US"/>
              </w:rPr>
              <w:t>;</w:t>
            </w:r>
          </w:p>
          <w:p w14:paraId="2E373E81" w14:textId="77777777" w:rsidR="004E2763"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Office of Budget Responsibilit</w:t>
            </w:r>
            <w:r w:rsidR="004E2763" w:rsidRPr="00E30BD3">
              <w:rPr>
                <w:rFonts w:ascii="Arial" w:hAnsi="Arial" w:cs="Arial"/>
                <w:lang w:eastAsia="en-US"/>
              </w:rPr>
              <w:t>y</w:t>
            </w:r>
            <w:r w:rsidRPr="00E30BD3">
              <w:rPr>
                <w:rFonts w:ascii="Arial" w:hAnsi="Arial" w:cs="Arial"/>
                <w:lang w:eastAsia="en-US"/>
              </w:rPr>
              <w:t xml:space="preserve"> (OBR) forecasts;</w:t>
            </w:r>
          </w:p>
          <w:p w14:paraId="1865A3D9" w14:textId="77777777" w:rsidR="00823E46" w:rsidRPr="00E30BD3" w:rsidRDefault="00541E0A"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P</w:t>
            </w:r>
            <w:r w:rsidR="00823E46" w:rsidRPr="00E30BD3">
              <w:rPr>
                <w:rFonts w:ascii="Arial" w:hAnsi="Arial" w:cs="Arial"/>
                <w:lang w:eastAsia="en-US"/>
              </w:rPr>
              <w:t xml:space="preserve">olice Staff </w:t>
            </w:r>
            <w:r w:rsidRPr="00E30BD3">
              <w:rPr>
                <w:rFonts w:ascii="Arial" w:hAnsi="Arial" w:cs="Arial"/>
                <w:lang w:eastAsia="en-US"/>
              </w:rPr>
              <w:t>C</w:t>
            </w:r>
            <w:r w:rsidR="00823E46" w:rsidRPr="00E30BD3">
              <w:rPr>
                <w:rFonts w:ascii="Arial" w:hAnsi="Arial" w:cs="Arial"/>
                <w:lang w:eastAsia="en-US"/>
              </w:rPr>
              <w:t xml:space="preserve">ouncil </w:t>
            </w:r>
            <w:r w:rsidRPr="00E30BD3">
              <w:rPr>
                <w:rFonts w:ascii="Arial" w:hAnsi="Arial" w:cs="Arial"/>
                <w:lang w:eastAsia="en-US"/>
              </w:rPr>
              <w:t>and P</w:t>
            </w:r>
            <w:r w:rsidR="00823E46" w:rsidRPr="00E30BD3">
              <w:rPr>
                <w:rFonts w:ascii="Arial" w:hAnsi="Arial" w:cs="Arial"/>
                <w:lang w:eastAsia="en-US"/>
              </w:rPr>
              <w:t xml:space="preserve">olice </w:t>
            </w:r>
            <w:r w:rsidRPr="00E30BD3">
              <w:rPr>
                <w:rFonts w:ascii="Arial" w:hAnsi="Arial" w:cs="Arial"/>
                <w:lang w:eastAsia="en-US"/>
              </w:rPr>
              <w:t>N</w:t>
            </w:r>
            <w:r w:rsidR="00823E46" w:rsidRPr="00E30BD3">
              <w:rPr>
                <w:rFonts w:ascii="Arial" w:hAnsi="Arial" w:cs="Arial"/>
                <w:lang w:eastAsia="en-US"/>
              </w:rPr>
              <w:t xml:space="preserve">egotiating </w:t>
            </w:r>
            <w:r w:rsidRPr="00E30BD3">
              <w:rPr>
                <w:rFonts w:ascii="Arial" w:hAnsi="Arial" w:cs="Arial"/>
                <w:lang w:eastAsia="en-US"/>
              </w:rPr>
              <w:t>B</w:t>
            </w:r>
            <w:r w:rsidR="00823E46" w:rsidRPr="00E30BD3">
              <w:rPr>
                <w:rFonts w:ascii="Arial" w:hAnsi="Arial" w:cs="Arial"/>
                <w:lang w:eastAsia="en-US"/>
              </w:rPr>
              <w:t>oard;</w:t>
            </w:r>
          </w:p>
          <w:p w14:paraId="0E4B6C2A" w14:textId="77777777" w:rsidR="00541E0A" w:rsidRPr="00E30BD3" w:rsidRDefault="00823E46"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Internal intelligence and local strategies; and</w:t>
            </w:r>
          </w:p>
          <w:p w14:paraId="7E8140CD" w14:textId="77777777" w:rsidR="003F1F1B" w:rsidRPr="00E30BD3" w:rsidRDefault="003F1F1B" w:rsidP="00B464F5">
            <w:pPr>
              <w:pStyle w:val="ListParagraph"/>
              <w:numPr>
                <w:ilvl w:val="0"/>
                <w:numId w:val="1"/>
              </w:numPr>
              <w:autoSpaceDE w:val="0"/>
              <w:autoSpaceDN w:val="0"/>
              <w:adjustRightInd w:val="0"/>
              <w:jc w:val="both"/>
              <w:rPr>
                <w:rFonts w:ascii="Arial" w:hAnsi="Arial" w:cs="Arial"/>
                <w:lang w:eastAsia="en-US"/>
              </w:rPr>
            </w:pPr>
            <w:r w:rsidRPr="00E30BD3">
              <w:rPr>
                <w:rFonts w:ascii="Arial" w:hAnsi="Arial" w:cs="Arial"/>
                <w:lang w:eastAsia="en-US"/>
              </w:rPr>
              <w:t>Data sharing with peers from the Police and Crime</w:t>
            </w:r>
            <w:r w:rsidR="004E2763" w:rsidRPr="00E30BD3">
              <w:rPr>
                <w:rFonts w:ascii="Arial" w:hAnsi="Arial" w:cs="Arial"/>
                <w:lang w:eastAsia="en-US"/>
              </w:rPr>
              <w:t xml:space="preserve"> Commissioner Treasurers</w:t>
            </w:r>
            <w:r w:rsidR="000D6331" w:rsidRPr="00E30BD3">
              <w:rPr>
                <w:rFonts w:ascii="Arial" w:hAnsi="Arial" w:cs="Arial"/>
                <w:lang w:eastAsia="en-US"/>
              </w:rPr>
              <w:t>’</w:t>
            </w:r>
            <w:r w:rsidR="004E2763" w:rsidRPr="00E30BD3">
              <w:rPr>
                <w:rFonts w:ascii="Arial" w:hAnsi="Arial" w:cs="Arial"/>
                <w:lang w:eastAsia="en-US"/>
              </w:rPr>
              <w:t xml:space="preserve"> Society</w:t>
            </w:r>
            <w:r w:rsidRPr="00E30BD3">
              <w:rPr>
                <w:rFonts w:ascii="Arial" w:hAnsi="Arial" w:cs="Arial"/>
                <w:lang w:eastAsia="en-US"/>
              </w:rPr>
              <w:t xml:space="preserve"> </w:t>
            </w:r>
            <w:r w:rsidR="000D6331" w:rsidRPr="00E30BD3">
              <w:rPr>
                <w:rFonts w:ascii="Arial" w:hAnsi="Arial" w:cs="Arial"/>
                <w:lang w:eastAsia="en-US"/>
              </w:rPr>
              <w:t xml:space="preserve">(PACCTS), </w:t>
            </w:r>
            <w:r w:rsidR="00F21084" w:rsidRPr="00E30BD3">
              <w:rPr>
                <w:rFonts w:ascii="Arial" w:hAnsi="Arial" w:cs="Arial"/>
                <w:lang w:eastAsia="en-US"/>
              </w:rPr>
              <w:t>the Welsh Police Finance and Resources Group (WPFRG)</w:t>
            </w:r>
            <w:r w:rsidR="000D6331" w:rsidRPr="00E30BD3">
              <w:rPr>
                <w:rFonts w:ascii="Arial" w:hAnsi="Arial" w:cs="Arial"/>
                <w:lang w:eastAsia="en-US"/>
              </w:rPr>
              <w:t xml:space="preserve"> </w:t>
            </w:r>
            <w:r w:rsidRPr="00E30BD3">
              <w:rPr>
                <w:rFonts w:ascii="Arial" w:hAnsi="Arial" w:cs="Arial"/>
                <w:lang w:eastAsia="en-US"/>
              </w:rPr>
              <w:t>and the N</w:t>
            </w:r>
            <w:r w:rsidR="004E2763" w:rsidRPr="00E30BD3">
              <w:rPr>
                <w:rFonts w:ascii="Arial" w:hAnsi="Arial" w:cs="Arial"/>
                <w:lang w:eastAsia="en-US"/>
              </w:rPr>
              <w:t xml:space="preserve">ational </w:t>
            </w:r>
            <w:r w:rsidRPr="00E30BD3">
              <w:rPr>
                <w:rFonts w:ascii="Arial" w:hAnsi="Arial" w:cs="Arial"/>
                <w:lang w:eastAsia="en-US"/>
              </w:rPr>
              <w:t>P</w:t>
            </w:r>
            <w:r w:rsidR="004E2763" w:rsidRPr="00E30BD3">
              <w:rPr>
                <w:rFonts w:ascii="Arial" w:hAnsi="Arial" w:cs="Arial"/>
                <w:lang w:eastAsia="en-US"/>
              </w:rPr>
              <w:t xml:space="preserve">olice </w:t>
            </w:r>
            <w:r w:rsidRPr="00E30BD3">
              <w:rPr>
                <w:rFonts w:ascii="Arial" w:hAnsi="Arial" w:cs="Arial"/>
                <w:lang w:eastAsia="en-US"/>
              </w:rPr>
              <w:t>C</w:t>
            </w:r>
            <w:r w:rsidR="004E2763" w:rsidRPr="00E30BD3">
              <w:rPr>
                <w:rFonts w:ascii="Arial" w:hAnsi="Arial" w:cs="Arial"/>
                <w:lang w:eastAsia="en-US"/>
              </w:rPr>
              <w:t xml:space="preserve">hief’s </w:t>
            </w:r>
            <w:r w:rsidRPr="00E30BD3">
              <w:rPr>
                <w:rFonts w:ascii="Arial" w:hAnsi="Arial" w:cs="Arial"/>
                <w:lang w:eastAsia="en-US"/>
              </w:rPr>
              <w:t>C</w:t>
            </w:r>
            <w:r w:rsidR="004E2763" w:rsidRPr="00E30BD3">
              <w:rPr>
                <w:rFonts w:ascii="Arial" w:hAnsi="Arial" w:cs="Arial"/>
                <w:lang w:eastAsia="en-US"/>
              </w:rPr>
              <w:t>ouncil’s (NPCC)</w:t>
            </w:r>
            <w:r w:rsidRPr="00E30BD3">
              <w:rPr>
                <w:rFonts w:ascii="Arial" w:hAnsi="Arial" w:cs="Arial"/>
                <w:lang w:eastAsia="en-US"/>
              </w:rPr>
              <w:t xml:space="preserve"> Finance </w:t>
            </w:r>
            <w:r w:rsidR="000D6331" w:rsidRPr="00E30BD3">
              <w:rPr>
                <w:rFonts w:ascii="Arial" w:hAnsi="Arial" w:cs="Arial"/>
                <w:lang w:eastAsia="en-US"/>
              </w:rPr>
              <w:t>Coordination Committee</w:t>
            </w:r>
            <w:r w:rsidR="004E2763" w:rsidRPr="00E30BD3">
              <w:rPr>
                <w:rFonts w:ascii="Arial" w:hAnsi="Arial" w:cs="Arial"/>
                <w:lang w:eastAsia="en-US"/>
              </w:rPr>
              <w:t>.</w:t>
            </w:r>
          </w:p>
          <w:p w14:paraId="3F9FE57E" w14:textId="33B07A4E" w:rsidR="003F1F1B" w:rsidRDefault="003F1F1B" w:rsidP="00B464F5">
            <w:pPr>
              <w:pStyle w:val="ListParagraph"/>
              <w:autoSpaceDE w:val="0"/>
              <w:autoSpaceDN w:val="0"/>
              <w:adjustRightInd w:val="0"/>
              <w:ind w:left="0"/>
              <w:jc w:val="both"/>
              <w:rPr>
                <w:rFonts w:ascii="Arial" w:hAnsi="Arial" w:cs="Arial"/>
                <w:lang w:eastAsia="en-US"/>
              </w:rPr>
            </w:pPr>
          </w:p>
          <w:p w14:paraId="3B84C4C6" w14:textId="02A4A614" w:rsidR="002528D2" w:rsidRPr="00011DD5" w:rsidRDefault="00BF198E" w:rsidP="00B464F5">
            <w:pPr>
              <w:pStyle w:val="ListParagraph"/>
              <w:autoSpaceDE w:val="0"/>
              <w:autoSpaceDN w:val="0"/>
              <w:adjustRightInd w:val="0"/>
              <w:ind w:left="0"/>
              <w:jc w:val="both"/>
              <w:rPr>
                <w:rFonts w:ascii="Arial" w:hAnsi="Arial" w:cs="Arial"/>
                <w:lang w:eastAsia="en-US"/>
              </w:rPr>
            </w:pPr>
            <w:r w:rsidRPr="00011DD5">
              <w:rPr>
                <w:rFonts w:ascii="Arial" w:hAnsi="Arial" w:cs="Arial"/>
                <w:lang w:eastAsia="en-US"/>
              </w:rPr>
              <w:t>The future financial challenge to 202</w:t>
            </w:r>
            <w:r w:rsidR="00011DD5" w:rsidRPr="00011DD5">
              <w:rPr>
                <w:rFonts w:ascii="Arial" w:hAnsi="Arial" w:cs="Arial"/>
                <w:lang w:eastAsia="en-US"/>
              </w:rPr>
              <w:t>9</w:t>
            </w:r>
            <w:r w:rsidRPr="00011DD5">
              <w:rPr>
                <w:rFonts w:ascii="Arial" w:hAnsi="Arial" w:cs="Arial"/>
                <w:lang w:eastAsia="en-US"/>
              </w:rPr>
              <w:t>/</w:t>
            </w:r>
            <w:r w:rsidR="00011DD5" w:rsidRPr="00011DD5">
              <w:rPr>
                <w:rFonts w:ascii="Arial" w:hAnsi="Arial" w:cs="Arial"/>
                <w:lang w:eastAsia="en-US"/>
              </w:rPr>
              <w:t>30</w:t>
            </w:r>
            <w:r w:rsidRPr="00011DD5">
              <w:rPr>
                <w:rFonts w:ascii="Arial" w:hAnsi="Arial" w:cs="Arial"/>
                <w:lang w:eastAsia="en-US"/>
              </w:rPr>
              <w:t xml:space="preserve"> is exacerbated by the HO’s review of the </w:t>
            </w:r>
            <w:r w:rsidR="00E3379F" w:rsidRPr="00011DD5">
              <w:rPr>
                <w:rFonts w:ascii="Arial" w:hAnsi="Arial" w:cs="Arial"/>
                <w:lang w:eastAsia="en-US"/>
              </w:rPr>
              <w:t>P</w:t>
            </w:r>
            <w:r w:rsidRPr="00011DD5">
              <w:rPr>
                <w:rFonts w:ascii="Arial" w:hAnsi="Arial" w:cs="Arial"/>
                <w:lang w:eastAsia="en-US"/>
              </w:rPr>
              <w:t xml:space="preserve">olice </w:t>
            </w:r>
            <w:r w:rsidR="00E3379F" w:rsidRPr="00011DD5">
              <w:rPr>
                <w:rFonts w:ascii="Arial" w:hAnsi="Arial" w:cs="Arial"/>
                <w:lang w:eastAsia="en-US"/>
              </w:rPr>
              <w:t>F</w:t>
            </w:r>
            <w:r w:rsidRPr="00011DD5">
              <w:rPr>
                <w:rFonts w:ascii="Arial" w:hAnsi="Arial" w:cs="Arial"/>
                <w:lang w:eastAsia="en-US"/>
              </w:rPr>
              <w:t xml:space="preserve">unding </w:t>
            </w:r>
            <w:r w:rsidR="00E3379F" w:rsidRPr="00011DD5">
              <w:rPr>
                <w:rFonts w:ascii="Arial" w:hAnsi="Arial" w:cs="Arial"/>
                <w:lang w:eastAsia="en-US"/>
              </w:rPr>
              <w:t>F</w:t>
            </w:r>
            <w:r w:rsidRPr="00011DD5">
              <w:rPr>
                <w:rFonts w:ascii="Arial" w:hAnsi="Arial" w:cs="Arial"/>
                <w:lang w:eastAsia="en-US"/>
              </w:rPr>
              <w:t xml:space="preserve">ormula. </w:t>
            </w:r>
            <w:r w:rsidR="007A2F26" w:rsidRPr="00011DD5">
              <w:rPr>
                <w:rFonts w:ascii="Arial" w:hAnsi="Arial" w:cs="Arial"/>
                <w:lang w:eastAsia="en-US"/>
              </w:rPr>
              <w:t xml:space="preserve"> </w:t>
            </w:r>
            <w:r w:rsidRPr="00011DD5">
              <w:rPr>
                <w:rFonts w:ascii="Arial" w:hAnsi="Arial" w:cs="Arial"/>
                <w:lang w:eastAsia="en-US"/>
              </w:rPr>
              <w:t>By way of background, once the overall size of the policing budget is determined by the HO (via the CSR</w:t>
            </w:r>
            <w:r w:rsidR="002528D2" w:rsidRPr="00011DD5">
              <w:rPr>
                <w:rFonts w:ascii="Arial" w:hAnsi="Arial" w:cs="Arial"/>
                <w:lang w:eastAsia="en-US"/>
              </w:rPr>
              <w:t>)</w:t>
            </w:r>
            <w:r w:rsidRPr="00011DD5">
              <w:rPr>
                <w:rFonts w:ascii="Arial" w:hAnsi="Arial" w:cs="Arial"/>
                <w:lang w:eastAsia="en-US"/>
              </w:rPr>
              <w:t xml:space="preserve">, then the amount of funding provided to respective Police and Crime Commissioners will be determined by the Police Funding Formula. </w:t>
            </w:r>
            <w:r w:rsidR="007A2F26" w:rsidRPr="00011DD5">
              <w:rPr>
                <w:rFonts w:ascii="Arial" w:hAnsi="Arial" w:cs="Arial"/>
                <w:lang w:eastAsia="en-US"/>
              </w:rPr>
              <w:t xml:space="preserve"> </w:t>
            </w:r>
            <w:r w:rsidRPr="00011DD5">
              <w:rPr>
                <w:rFonts w:ascii="Arial" w:hAnsi="Arial" w:cs="Arial"/>
                <w:lang w:eastAsia="en-US"/>
              </w:rPr>
              <w:t xml:space="preserve">It has been well publicised that the current formula is out-dated, overly complex, opaque and in need of review. </w:t>
            </w:r>
            <w:r w:rsidR="007A2F26" w:rsidRPr="00011DD5">
              <w:rPr>
                <w:rFonts w:ascii="Arial" w:hAnsi="Arial" w:cs="Arial"/>
                <w:lang w:eastAsia="en-US"/>
              </w:rPr>
              <w:t xml:space="preserve"> </w:t>
            </w:r>
            <w:r w:rsidRPr="00011DD5">
              <w:rPr>
                <w:rFonts w:ascii="Arial" w:hAnsi="Arial" w:cs="Arial"/>
                <w:lang w:eastAsia="en-US"/>
              </w:rPr>
              <w:t xml:space="preserve">Following a ‘false start’ to the review process during the latter half of 2015, the review was brought back on track with a hope to produce its findings by February/March 2017, with implementation for the 2018/19 financial year.  However, the significant implications of the Brexit negotiations; the result of </w:t>
            </w:r>
            <w:r w:rsidRPr="00011DD5">
              <w:rPr>
                <w:rFonts w:ascii="Arial" w:hAnsi="Arial" w:cs="Arial"/>
                <w:lang w:eastAsia="en-US"/>
              </w:rPr>
              <w:lastRenderedPageBreak/>
              <w:t xml:space="preserve">the ‘snap’ General Election in June 2017 (and subsequent one in December 2019); the significant increase in the threat of terrorism; and the impact of Covid-19, </w:t>
            </w:r>
            <w:r w:rsidR="00FC2415" w:rsidRPr="00011DD5">
              <w:rPr>
                <w:rFonts w:ascii="Arial" w:hAnsi="Arial" w:cs="Arial"/>
                <w:lang w:eastAsia="en-US"/>
              </w:rPr>
              <w:t xml:space="preserve">meant </w:t>
            </w:r>
            <w:r w:rsidRPr="00011DD5">
              <w:rPr>
                <w:rFonts w:ascii="Arial" w:hAnsi="Arial" w:cs="Arial"/>
                <w:lang w:eastAsia="en-US"/>
              </w:rPr>
              <w:t>the implementation was further delayed.</w:t>
            </w:r>
          </w:p>
          <w:p w14:paraId="4D6A3779" w14:textId="77777777" w:rsidR="00B464F5" w:rsidRPr="00C95750" w:rsidRDefault="00B464F5" w:rsidP="00B464F5">
            <w:pPr>
              <w:spacing w:after="0" w:line="240" w:lineRule="auto"/>
              <w:jc w:val="both"/>
              <w:rPr>
                <w:rFonts w:ascii="Arial" w:hAnsi="Arial" w:cs="Arial"/>
                <w:sz w:val="24"/>
                <w:szCs w:val="24"/>
                <w:highlight w:val="yellow"/>
              </w:rPr>
            </w:pPr>
          </w:p>
          <w:p w14:paraId="62B16188" w14:textId="0FA54291" w:rsidR="00566DD4" w:rsidRPr="00011DD5" w:rsidRDefault="006F13FA" w:rsidP="00B464F5">
            <w:pPr>
              <w:pStyle w:val="ListParagraph"/>
              <w:autoSpaceDE w:val="0"/>
              <w:autoSpaceDN w:val="0"/>
              <w:adjustRightInd w:val="0"/>
              <w:ind w:left="0"/>
              <w:jc w:val="both"/>
              <w:rPr>
                <w:rFonts w:ascii="Arial" w:hAnsi="Arial" w:cs="Arial"/>
                <w:lang w:eastAsia="en-US"/>
              </w:rPr>
            </w:pPr>
            <w:r w:rsidRPr="00011DD5">
              <w:rPr>
                <w:rFonts w:ascii="Arial" w:hAnsi="Arial" w:cs="Arial"/>
                <w:lang w:eastAsia="en-US"/>
              </w:rPr>
              <w:t>H</w:t>
            </w:r>
            <w:r w:rsidR="002528D2" w:rsidRPr="00011DD5">
              <w:rPr>
                <w:rFonts w:ascii="Arial" w:hAnsi="Arial" w:cs="Arial"/>
                <w:lang w:eastAsia="en-US"/>
              </w:rPr>
              <w:t>owever</w:t>
            </w:r>
            <w:r w:rsidR="00BF198E" w:rsidRPr="00011DD5">
              <w:rPr>
                <w:rFonts w:ascii="Arial" w:hAnsi="Arial" w:cs="Arial"/>
                <w:lang w:eastAsia="en-US"/>
              </w:rPr>
              <w:t>, the review commence</w:t>
            </w:r>
            <w:r w:rsidR="00566DD4" w:rsidRPr="00011DD5">
              <w:rPr>
                <w:rFonts w:ascii="Arial" w:hAnsi="Arial" w:cs="Arial"/>
                <w:lang w:eastAsia="en-US"/>
              </w:rPr>
              <w:t>d</w:t>
            </w:r>
            <w:r w:rsidR="00BF198E" w:rsidRPr="00011DD5">
              <w:rPr>
                <w:rFonts w:ascii="Arial" w:hAnsi="Arial" w:cs="Arial"/>
                <w:lang w:eastAsia="en-US"/>
              </w:rPr>
              <w:t xml:space="preserve"> </w:t>
            </w:r>
            <w:r w:rsidR="00566DD4" w:rsidRPr="00011DD5">
              <w:rPr>
                <w:rFonts w:ascii="Arial" w:hAnsi="Arial" w:cs="Arial"/>
                <w:lang w:eastAsia="en-US"/>
              </w:rPr>
              <w:t>in November</w:t>
            </w:r>
            <w:r w:rsidR="00BF198E" w:rsidRPr="00011DD5">
              <w:rPr>
                <w:rFonts w:ascii="Arial" w:hAnsi="Arial" w:cs="Arial"/>
                <w:lang w:eastAsia="en-US"/>
              </w:rPr>
              <w:t xml:space="preserve"> 2021.</w:t>
            </w:r>
            <w:r w:rsidR="00566DD4" w:rsidRPr="00011DD5">
              <w:rPr>
                <w:rFonts w:ascii="Arial" w:hAnsi="Arial" w:cs="Arial"/>
                <w:lang w:eastAsia="en-US"/>
              </w:rPr>
              <w:t xml:space="preserve">  The A</w:t>
            </w:r>
            <w:r w:rsidR="007514C6" w:rsidRPr="00011DD5">
              <w:rPr>
                <w:rFonts w:ascii="Arial" w:hAnsi="Arial" w:cs="Arial"/>
                <w:lang w:eastAsia="en-US"/>
              </w:rPr>
              <w:t xml:space="preserve">ssociation of </w:t>
            </w:r>
            <w:r w:rsidR="00566DD4" w:rsidRPr="00011DD5">
              <w:rPr>
                <w:rFonts w:ascii="Arial" w:hAnsi="Arial" w:cs="Arial"/>
                <w:lang w:eastAsia="en-US"/>
              </w:rPr>
              <w:t>P</w:t>
            </w:r>
            <w:r w:rsidR="007514C6" w:rsidRPr="00011DD5">
              <w:rPr>
                <w:rFonts w:ascii="Arial" w:hAnsi="Arial" w:cs="Arial"/>
                <w:lang w:eastAsia="en-US"/>
              </w:rPr>
              <w:t xml:space="preserve">olice and </w:t>
            </w:r>
            <w:r w:rsidR="00566DD4" w:rsidRPr="00011DD5">
              <w:rPr>
                <w:rFonts w:ascii="Arial" w:hAnsi="Arial" w:cs="Arial"/>
                <w:lang w:eastAsia="en-US"/>
              </w:rPr>
              <w:t>C</w:t>
            </w:r>
            <w:r w:rsidR="007514C6" w:rsidRPr="00011DD5">
              <w:rPr>
                <w:rFonts w:ascii="Arial" w:hAnsi="Arial" w:cs="Arial"/>
                <w:lang w:eastAsia="en-US"/>
              </w:rPr>
              <w:t xml:space="preserve">rime </w:t>
            </w:r>
            <w:r w:rsidR="00566DD4" w:rsidRPr="00011DD5">
              <w:rPr>
                <w:rFonts w:ascii="Arial" w:hAnsi="Arial" w:cs="Arial"/>
                <w:lang w:eastAsia="en-US"/>
              </w:rPr>
              <w:t>C</w:t>
            </w:r>
            <w:r w:rsidR="007514C6" w:rsidRPr="00011DD5">
              <w:rPr>
                <w:rFonts w:ascii="Arial" w:hAnsi="Arial" w:cs="Arial"/>
                <w:lang w:eastAsia="en-US"/>
              </w:rPr>
              <w:t>ommissioners (APCC)</w:t>
            </w:r>
            <w:r w:rsidR="00566DD4" w:rsidRPr="00011DD5">
              <w:rPr>
                <w:rFonts w:ascii="Arial" w:hAnsi="Arial" w:cs="Arial"/>
                <w:lang w:eastAsia="en-US"/>
              </w:rPr>
              <w:t xml:space="preserve"> and N</w:t>
            </w:r>
            <w:r w:rsidR="007514C6" w:rsidRPr="00011DD5">
              <w:rPr>
                <w:rFonts w:ascii="Arial" w:hAnsi="Arial" w:cs="Arial"/>
                <w:lang w:eastAsia="en-US"/>
              </w:rPr>
              <w:t xml:space="preserve">ational </w:t>
            </w:r>
            <w:r w:rsidR="00566DD4" w:rsidRPr="00011DD5">
              <w:rPr>
                <w:rFonts w:ascii="Arial" w:hAnsi="Arial" w:cs="Arial"/>
                <w:lang w:eastAsia="en-US"/>
              </w:rPr>
              <w:t>P</w:t>
            </w:r>
            <w:r w:rsidR="007514C6" w:rsidRPr="00011DD5">
              <w:rPr>
                <w:rFonts w:ascii="Arial" w:hAnsi="Arial" w:cs="Arial"/>
                <w:lang w:eastAsia="en-US"/>
              </w:rPr>
              <w:t xml:space="preserve">olice </w:t>
            </w:r>
            <w:r w:rsidR="00566DD4" w:rsidRPr="00011DD5">
              <w:rPr>
                <w:rFonts w:ascii="Arial" w:hAnsi="Arial" w:cs="Arial"/>
                <w:lang w:eastAsia="en-US"/>
              </w:rPr>
              <w:t>C</w:t>
            </w:r>
            <w:r w:rsidR="007514C6" w:rsidRPr="00011DD5">
              <w:rPr>
                <w:rFonts w:ascii="Arial" w:hAnsi="Arial" w:cs="Arial"/>
                <w:lang w:eastAsia="en-US"/>
              </w:rPr>
              <w:t xml:space="preserve">hief’s </w:t>
            </w:r>
            <w:r w:rsidR="00566DD4" w:rsidRPr="00011DD5">
              <w:rPr>
                <w:rFonts w:ascii="Arial" w:hAnsi="Arial" w:cs="Arial"/>
                <w:lang w:eastAsia="en-US"/>
              </w:rPr>
              <w:t>C</w:t>
            </w:r>
            <w:r w:rsidR="007514C6" w:rsidRPr="00011DD5">
              <w:rPr>
                <w:rFonts w:ascii="Arial" w:hAnsi="Arial" w:cs="Arial"/>
                <w:lang w:eastAsia="en-US"/>
              </w:rPr>
              <w:t>ouncil (NPCC)</w:t>
            </w:r>
            <w:r w:rsidR="00566DD4" w:rsidRPr="00011DD5">
              <w:rPr>
                <w:rFonts w:ascii="Arial" w:hAnsi="Arial" w:cs="Arial"/>
                <w:lang w:eastAsia="en-US"/>
              </w:rPr>
              <w:t xml:space="preserve"> have selected representatives for both the Senior Sector Group (SSG) and Technical Reference Group (TRG).  The Gwent Commissioner’s Chief Finance Officer represents Welsh interests on the TRG.  The Home Office team has an open-door approach to engagement and are keen to hear from the Policing Sector.</w:t>
            </w:r>
            <w:r w:rsidR="00FC2415" w:rsidRPr="00011DD5">
              <w:rPr>
                <w:rFonts w:ascii="Arial" w:hAnsi="Arial" w:cs="Arial"/>
                <w:lang w:eastAsia="en-US"/>
              </w:rPr>
              <w:t xml:space="preserve"> </w:t>
            </w:r>
          </w:p>
          <w:p w14:paraId="1DE1ACF8" w14:textId="77777777" w:rsidR="00B464F5" w:rsidRPr="00C95750" w:rsidRDefault="00B464F5" w:rsidP="00B464F5">
            <w:pPr>
              <w:pStyle w:val="ListParagraph"/>
              <w:autoSpaceDE w:val="0"/>
              <w:autoSpaceDN w:val="0"/>
              <w:adjustRightInd w:val="0"/>
              <w:ind w:left="0"/>
              <w:jc w:val="both"/>
              <w:rPr>
                <w:rFonts w:ascii="Arial" w:hAnsi="Arial" w:cs="Arial"/>
                <w:highlight w:val="yellow"/>
                <w:lang w:eastAsia="en-US"/>
              </w:rPr>
            </w:pPr>
          </w:p>
          <w:p w14:paraId="37E0A2A2" w14:textId="56CBA1C0" w:rsidR="00566DD4" w:rsidRPr="00011DD5" w:rsidRDefault="00566DD4" w:rsidP="00B464F5">
            <w:pPr>
              <w:pStyle w:val="ListParagraph"/>
              <w:autoSpaceDE w:val="0"/>
              <w:autoSpaceDN w:val="0"/>
              <w:adjustRightInd w:val="0"/>
              <w:ind w:left="0"/>
              <w:jc w:val="both"/>
              <w:rPr>
                <w:rFonts w:ascii="Arial" w:hAnsi="Arial" w:cs="Arial"/>
                <w:lang w:eastAsia="en-US"/>
              </w:rPr>
            </w:pPr>
            <w:r w:rsidRPr="00011DD5">
              <w:rPr>
                <w:rFonts w:ascii="Arial" w:hAnsi="Arial" w:cs="Arial"/>
                <w:lang w:eastAsia="en-US"/>
              </w:rPr>
              <w:t xml:space="preserve">The Review </w:t>
            </w:r>
            <w:r w:rsidR="00011DD5" w:rsidRPr="00011DD5">
              <w:rPr>
                <w:rFonts w:ascii="Arial" w:hAnsi="Arial" w:cs="Arial"/>
                <w:lang w:eastAsia="en-US"/>
              </w:rPr>
              <w:t>concluded</w:t>
            </w:r>
            <w:r w:rsidR="00FC2415" w:rsidRPr="00011DD5">
              <w:rPr>
                <w:rFonts w:ascii="Arial" w:hAnsi="Arial" w:cs="Arial"/>
                <w:lang w:eastAsia="en-US"/>
              </w:rPr>
              <w:t xml:space="preserve"> </w:t>
            </w:r>
            <w:r w:rsidRPr="00011DD5">
              <w:rPr>
                <w:rFonts w:ascii="Arial" w:hAnsi="Arial" w:cs="Arial"/>
                <w:lang w:eastAsia="en-US"/>
              </w:rPr>
              <w:t>its initial ‘Technical Phase’</w:t>
            </w:r>
            <w:r w:rsidR="00011DD5" w:rsidRPr="00011DD5">
              <w:rPr>
                <w:rFonts w:ascii="Arial" w:hAnsi="Arial" w:cs="Arial"/>
                <w:lang w:eastAsia="en-US"/>
              </w:rPr>
              <w:t xml:space="preserve"> (</w:t>
            </w:r>
            <w:r w:rsidRPr="00011DD5">
              <w:rPr>
                <w:rFonts w:ascii="Arial" w:hAnsi="Arial" w:cs="Arial"/>
                <w:lang w:eastAsia="en-US"/>
              </w:rPr>
              <w:t xml:space="preserve">which will deliver </w:t>
            </w:r>
            <w:proofErr w:type="gramStart"/>
            <w:r w:rsidR="00011DD5" w:rsidRPr="00011DD5">
              <w:rPr>
                <w:rFonts w:ascii="Arial" w:hAnsi="Arial" w:cs="Arial"/>
                <w:lang w:eastAsia="en-US"/>
              </w:rPr>
              <w:t>academically-based</w:t>
            </w:r>
            <w:proofErr w:type="gramEnd"/>
            <w:r w:rsidR="00011DD5" w:rsidRPr="00011DD5">
              <w:rPr>
                <w:rFonts w:ascii="Arial" w:hAnsi="Arial" w:cs="Arial"/>
                <w:lang w:eastAsia="en-US"/>
              </w:rPr>
              <w:t xml:space="preserve"> </w:t>
            </w:r>
            <w:r w:rsidRPr="00011DD5">
              <w:rPr>
                <w:rFonts w:ascii="Arial" w:hAnsi="Arial" w:cs="Arial"/>
                <w:lang w:eastAsia="en-US"/>
              </w:rPr>
              <w:t>proposals for a new Police Funding Formula</w:t>
            </w:r>
            <w:r w:rsidR="00011DD5" w:rsidRPr="00011DD5">
              <w:rPr>
                <w:rFonts w:ascii="Arial" w:hAnsi="Arial" w:cs="Arial"/>
                <w:lang w:eastAsia="en-US"/>
              </w:rPr>
              <w:t>), at the start of 2024/25</w:t>
            </w:r>
            <w:r w:rsidRPr="00011DD5">
              <w:rPr>
                <w:rFonts w:ascii="Arial" w:hAnsi="Arial" w:cs="Arial"/>
                <w:lang w:eastAsia="en-US"/>
              </w:rPr>
              <w:t xml:space="preserve">.  </w:t>
            </w:r>
            <w:r w:rsidR="00011DD5" w:rsidRPr="00011DD5">
              <w:rPr>
                <w:rFonts w:ascii="Arial" w:hAnsi="Arial" w:cs="Arial"/>
                <w:lang w:eastAsia="en-US"/>
              </w:rPr>
              <w:t>However, at the time of writing, following the change of Government, it is uncertain as to when, if it all, the recommendations from TRG will be taken forward at Ministerial level.</w:t>
            </w:r>
            <w:r w:rsidR="00A667D5" w:rsidRPr="00011DD5">
              <w:rPr>
                <w:rFonts w:ascii="Arial" w:hAnsi="Arial" w:cs="Arial"/>
                <w:lang w:eastAsia="en-US"/>
              </w:rPr>
              <w:t xml:space="preserve"> </w:t>
            </w:r>
          </w:p>
          <w:p w14:paraId="013F8FD6" w14:textId="77777777" w:rsidR="00B464F5" w:rsidRPr="00C95750" w:rsidRDefault="00B464F5" w:rsidP="00B464F5">
            <w:pPr>
              <w:autoSpaceDE w:val="0"/>
              <w:autoSpaceDN w:val="0"/>
              <w:adjustRightInd w:val="0"/>
              <w:spacing w:after="0" w:line="240" w:lineRule="auto"/>
              <w:jc w:val="both"/>
              <w:rPr>
                <w:rFonts w:ascii="Arial" w:hAnsi="Arial" w:cs="Arial"/>
                <w:color w:val="000000"/>
                <w:sz w:val="24"/>
                <w:szCs w:val="24"/>
                <w:highlight w:val="yellow"/>
              </w:rPr>
            </w:pPr>
          </w:p>
          <w:p w14:paraId="3FCBFF1D" w14:textId="7BEF46C7" w:rsidR="00566DD4" w:rsidRPr="00E30BD3" w:rsidRDefault="00011DD5" w:rsidP="00B464F5">
            <w:pPr>
              <w:autoSpaceDE w:val="0"/>
              <w:autoSpaceDN w:val="0"/>
              <w:adjustRightInd w:val="0"/>
              <w:spacing w:after="0" w:line="240" w:lineRule="auto"/>
              <w:jc w:val="both"/>
              <w:rPr>
                <w:rFonts w:ascii="Arial" w:hAnsi="Arial" w:cs="Arial"/>
                <w:color w:val="000000"/>
                <w:sz w:val="24"/>
                <w:szCs w:val="24"/>
              </w:rPr>
            </w:pPr>
            <w:r w:rsidRPr="00011DD5">
              <w:rPr>
                <w:rFonts w:ascii="Arial" w:hAnsi="Arial" w:cs="Arial"/>
                <w:color w:val="000000"/>
                <w:sz w:val="24"/>
                <w:szCs w:val="24"/>
              </w:rPr>
              <w:t xml:space="preserve">The Autumn Budget was silent on The Police Funding Formula, therefore, the next potential opportunity of the </w:t>
            </w:r>
            <w:r w:rsidR="00D30E2B">
              <w:rPr>
                <w:rFonts w:ascii="Arial" w:hAnsi="Arial" w:cs="Arial"/>
                <w:color w:val="000000"/>
                <w:sz w:val="24"/>
                <w:szCs w:val="24"/>
              </w:rPr>
              <w:t xml:space="preserve">one year </w:t>
            </w:r>
            <w:r w:rsidRPr="00011DD5">
              <w:rPr>
                <w:rFonts w:ascii="Arial" w:hAnsi="Arial" w:cs="Arial"/>
                <w:color w:val="000000"/>
                <w:sz w:val="24"/>
                <w:szCs w:val="24"/>
              </w:rPr>
              <w:t>S</w:t>
            </w:r>
            <w:r w:rsidR="00D30E2B">
              <w:rPr>
                <w:rFonts w:ascii="Arial" w:hAnsi="Arial" w:cs="Arial"/>
                <w:color w:val="000000"/>
                <w:sz w:val="24"/>
                <w:szCs w:val="24"/>
              </w:rPr>
              <w:t>pending Review (S</w:t>
            </w:r>
            <w:r w:rsidRPr="00011DD5">
              <w:rPr>
                <w:rFonts w:ascii="Arial" w:hAnsi="Arial" w:cs="Arial"/>
                <w:color w:val="000000"/>
                <w:sz w:val="24"/>
                <w:szCs w:val="24"/>
              </w:rPr>
              <w:t>R</w:t>
            </w:r>
            <w:r w:rsidR="00D30E2B">
              <w:rPr>
                <w:rFonts w:ascii="Arial" w:hAnsi="Arial" w:cs="Arial"/>
                <w:color w:val="000000"/>
                <w:sz w:val="24"/>
                <w:szCs w:val="24"/>
              </w:rPr>
              <w:t xml:space="preserve"> - </w:t>
            </w:r>
            <w:r w:rsidRPr="00011DD5">
              <w:rPr>
                <w:rFonts w:ascii="Arial" w:hAnsi="Arial" w:cs="Arial"/>
                <w:color w:val="000000"/>
                <w:sz w:val="24"/>
                <w:szCs w:val="24"/>
              </w:rPr>
              <w:t>expected January 2025) may shed some light on the next steps.  Therefore, the proposed Reserves and Committed Funds Strategy provides for no transitional impact of a change to Gwent’s current Core Government Grant Funding allocation.</w:t>
            </w:r>
          </w:p>
          <w:p w14:paraId="754931CC" w14:textId="77777777" w:rsidR="00B464F5" w:rsidRPr="00E30BD3" w:rsidRDefault="00B464F5" w:rsidP="00B464F5">
            <w:pPr>
              <w:autoSpaceDE w:val="0"/>
              <w:autoSpaceDN w:val="0"/>
              <w:adjustRightInd w:val="0"/>
              <w:spacing w:after="0" w:line="240" w:lineRule="auto"/>
              <w:jc w:val="both"/>
              <w:rPr>
                <w:rFonts w:ascii="Arial" w:hAnsi="Arial" w:cs="Arial"/>
                <w:color w:val="000000"/>
                <w:sz w:val="24"/>
                <w:szCs w:val="24"/>
              </w:rPr>
            </w:pPr>
          </w:p>
          <w:p w14:paraId="73F9590B" w14:textId="77777777" w:rsidR="00CE0303" w:rsidRPr="00995E23" w:rsidRDefault="005D0966" w:rsidP="00B464F5">
            <w:pPr>
              <w:autoSpaceDE w:val="0"/>
              <w:autoSpaceDN w:val="0"/>
              <w:adjustRightInd w:val="0"/>
              <w:spacing w:after="0" w:line="240" w:lineRule="auto"/>
              <w:jc w:val="both"/>
              <w:rPr>
                <w:rFonts w:ascii="Arial" w:hAnsi="Arial" w:cs="Arial"/>
                <w:sz w:val="24"/>
                <w:szCs w:val="24"/>
              </w:rPr>
            </w:pPr>
            <w:r w:rsidRPr="00E30BD3">
              <w:rPr>
                <w:rFonts w:ascii="Arial" w:hAnsi="Arial" w:cs="Arial"/>
                <w:sz w:val="24"/>
                <w:szCs w:val="24"/>
              </w:rPr>
              <w:t xml:space="preserve">Historically, </w:t>
            </w:r>
            <w:r w:rsidR="00B83CBC" w:rsidRPr="00E30BD3">
              <w:rPr>
                <w:rFonts w:ascii="Arial" w:hAnsi="Arial" w:cs="Arial"/>
                <w:sz w:val="24"/>
                <w:szCs w:val="24"/>
              </w:rPr>
              <w:t xml:space="preserve">although </w:t>
            </w:r>
            <w:r w:rsidRPr="00E30BD3">
              <w:rPr>
                <w:rFonts w:ascii="Arial" w:hAnsi="Arial" w:cs="Arial"/>
                <w:sz w:val="24"/>
                <w:szCs w:val="24"/>
              </w:rPr>
              <w:t>the revision and setting of the Commissioner’s Reserves</w:t>
            </w:r>
            <w:r w:rsidR="00A920A6" w:rsidRPr="00E30BD3">
              <w:rPr>
                <w:rFonts w:ascii="Arial" w:hAnsi="Arial" w:cs="Arial"/>
                <w:sz w:val="24"/>
                <w:szCs w:val="24"/>
              </w:rPr>
              <w:t xml:space="preserve"> and Committed Funds</w:t>
            </w:r>
            <w:r w:rsidRPr="00E30BD3">
              <w:rPr>
                <w:rFonts w:ascii="Arial" w:hAnsi="Arial" w:cs="Arial"/>
                <w:sz w:val="24"/>
                <w:szCs w:val="24"/>
              </w:rPr>
              <w:t xml:space="preserve"> Strategy</w:t>
            </w:r>
            <w:r w:rsidR="00D87F55" w:rsidRPr="00E30BD3">
              <w:rPr>
                <w:rFonts w:ascii="Arial" w:hAnsi="Arial" w:cs="Arial"/>
                <w:sz w:val="24"/>
                <w:szCs w:val="24"/>
              </w:rPr>
              <w:t xml:space="preserve"> has formed an inte</w:t>
            </w:r>
            <w:r w:rsidRPr="00E30BD3">
              <w:rPr>
                <w:rFonts w:ascii="Arial" w:hAnsi="Arial" w:cs="Arial"/>
                <w:sz w:val="24"/>
                <w:szCs w:val="24"/>
              </w:rPr>
              <w:t xml:space="preserve">gral part of the budget setting process, </w:t>
            </w:r>
            <w:r w:rsidR="00B83CBC" w:rsidRPr="00E30BD3">
              <w:rPr>
                <w:rFonts w:ascii="Arial" w:hAnsi="Arial" w:cs="Arial"/>
                <w:sz w:val="24"/>
                <w:szCs w:val="24"/>
              </w:rPr>
              <w:t>it</w:t>
            </w:r>
            <w:r w:rsidRPr="00E30BD3">
              <w:rPr>
                <w:rFonts w:ascii="Arial" w:hAnsi="Arial" w:cs="Arial"/>
                <w:sz w:val="24"/>
                <w:szCs w:val="24"/>
              </w:rPr>
              <w:t xml:space="preserve"> has not necessarily been separately </w:t>
            </w:r>
            <w:r w:rsidR="00CE0303" w:rsidRPr="00E30BD3">
              <w:rPr>
                <w:rFonts w:ascii="Arial" w:hAnsi="Arial" w:cs="Arial"/>
                <w:sz w:val="24"/>
                <w:szCs w:val="24"/>
              </w:rPr>
              <w:t xml:space="preserve">formally </w:t>
            </w:r>
            <w:r w:rsidRPr="00E30BD3">
              <w:rPr>
                <w:rFonts w:ascii="Arial" w:hAnsi="Arial" w:cs="Arial"/>
                <w:sz w:val="24"/>
                <w:szCs w:val="24"/>
              </w:rPr>
              <w:t>reported.  In September 2014 ho</w:t>
            </w:r>
            <w:r w:rsidR="00B83CBC" w:rsidRPr="00E30BD3">
              <w:rPr>
                <w:rFonts w:ascii="Arial" w:hAnsi="Arial" w:cs="Arial"/>
                <w:sz w:val="24"/>
                <w:szCs w:val="24"/>
              </w:rPr>
              <w:t>wever, in order to provide the P</w:t>
            </w:r>
            <w:r w:rsidRPr="00E30BD3">
              <w:rPr>
                <w:rFonts w:ascii="Arial" w:hAnsi="Arial" w:cs="Arial"/>
                <w:sz w:val="24"/>
                <w:szCs w:val="24"/>
              </w:rPr>
              <w:t xml:space="preserve">CP with a greater insight into the Commissioner’s </w:t>
            </w:r>
            <w:r w:rsidR="00A920A6" w:rsidRPr="00E30BD3">
              <w:rPr>
                <w:rFonts w:ascii="Arial" w:hAnsi="Arial" w:cs="Arial"/>
                <w:sz w:val="24"/>
                <w:szCs w:val="24"/>
              </w:rPr>
              <w:t xml:space="preserve">overall financial </w:t>
            </w:r>
            <w:r w:rsidRPr="00E30BD3">
              <w:rPr>
                <w:rFonts w:ascii="Arial" w:hAnsi="Arial" w:cs="Arial"/>
                <w:sz w:val="24"/>
                <w:szCs w:val="24"/>
              </w:rPr>
              <w:t xml:space="preserve">position, the 2014/15 Reserves </w:t>
            </w:r>
            <w:r w:rsidR="00A920A6" w:rsidRPr="00E30BD3">
              <w:rPr>
                <w:rFonts w:ascii="Arial" w:hAnsi="Arial" w:cs="Arial"/>
                <w:sz w:val="24"/>
                <w:szCs w:val="24"/>
              </w:rPr>
              <w:t xml:space="preserve">and Committed Funds </w:t>
            </w:r>
            <w:r w:rsidRPr="00E30BD3">
              <w:rPr>
                <w:rFonts w:ascii="Arial" w:hAnsi="Arial" w:cs="Arial"/>
                <w:sz w:val="24"/>
                <w:szCs w:val="24"/>
              </w:rPr>
              <w:t>S</w:t>
            </w:r>
            <w:r w:rsidR="00CE0303" w:rsidRPr="00E30BD3">
              <w:rPr>
                <w:rFonts w:ascii="Arial" w:hAnsi="Arial" w:cs="Arial"/>
                <w:sz w:val="24"/>
                <w:szCs w:val="24"/>
              </w:rPr>
              <w:t>t</w:t>
            </w:r>
            <w:r w:rsidRPr="00E30BD3">
              <w:rPr>
                <w:rFonts w:ascii="Arial" w:hAnsi="Arial" w:cs="Arial"/>
                <w:sz w:val="24"/>
                <w:szCs w:val="24"/>
              </w:rPr>
              <w:t>rategy was formally reported to them.</w:t>
            </w:r>
            <w:r w:rsidR="00D87F55" w:rsidRPr="00E30BD3">
              <w:rPr>
                <w:rFonts w:ascii="Arial" w:hAnsi="Arial" w:cs="Arial"/>
                <w:sz w:val="24"/>
                <w:szCs w:val="24"/>
              </w:rPr>
              <w:t xml:space="preserve">   </w:t>
            </w:r>
            <w:r w:rsidR="00CE0303" w:rsidRPr="00E30BD3">
              <w:rPr>
                <w:rFonts w:ascii="Arial" w:hAnsi="Arial" w:cs="Arial"/>
                <w:sz w:val="24"/>
                <w:szCs w:val="24"/>
              </w:rPr>
              <w:t>The benefits of this approach</w:t>
            </w:r>
            <w:r w:rsidR="005709F0" w:rsidRPr="00E30BD3">
              <w:rPr>
                <w:rFonts w:ascii="Arial" w:hAnsi="Arial" w:cs="Arial"/>
                <w:sz w:val="24"/>
                <w:szCs w:val="24"/>
              </w:rPr>
              <w:t>,</w:t>
            </w:r>
            <w:r w:rsidR="00CE0303" w:rsidRPr="00E30BD3">
              <w:rPr>
                <w:rFonts w:ascii="Arial" w:hAnsi="Arial" w:cs="Arial"/>
                <w:sz w:val="24"/>
                <w:szCs w:val="24"/>
              </w:rPr>
              <w:t xml:space="preserve"> linked with the impact of continuing financial austerity</w:t>
            </w:r>
            <w:r w:rsidR="005709F0" w:rsidRPr="00E30BD3">
              <w:rPr>
                <w:rFonts w:ascii="Arial" w:hAnsi="Arial" w:cs="Arial"/>
                <w:sz w:val="24"/>
                <w:szCs w:val="24"/>
              </w:rPr>
              <w:t>,</w:t>
            </w:r>
            <w:r w:rsidR="00CE0303" w:rsidRPr="00E30BD3">
              <w:rPr>
                <w:rFonts w:ascii="Arial" w:hAnsi="Arial" w:cs="Arial"/>
                <w:sz w:val="24"/>
                <w:szCs w:val="24"/>
              </w:rPr>
              <w:t xml:space="preserve"> has prompted the continuation of separate formal reporting moving forward.</w:t>
            </w:r>
          </w:p>
          <w:p w14:paraId="3FD9F19C" w14:textId="4AFAE108" w:rsidR="005D0966" w:rsidRDefault="005D0966" w:rsidP="00B464F5">
            <w:pPr>
              <w:pStyle w:val="ListParagraph"/>
              <w:autoSpaceDE w:val="0"/>
              <w:autoSpaceDN w:val="0"/>
              <w:adjustRightInd w:val="0"/>
              <w:ind w:left="0"/>
              <w:jc w:val="both"/>
              <w:rPr>
                <w:rFonts w:ascii="Arial" w:hAnsi="Arial" w:cs="Arial"/>
                <w:lang w:eastAsia="en-US"/>
              </w:rPr>
            </w:pPr>
          </w:p>
          <w:p w14:paraId="2D4A5CC9" w14:textId="6074BD34" w:rsidR="00C95750" w:rsidRDefault="00CE0303" w:rsidP="00B464F5">
            <w:pPr>
              <w:pStyle w:val="ListParagraph"/>
              <w:autoSpaceDE w:val="0"/>
              <w:autoSpaceDN w:val="0"/>
              <w:adjustRightInd w:val="0"/>
              <w:ind w:left="0"/>
              <w:jc w:val="both"/>
              <w:rPr>
                <w:rFonts w:ascii="Arial" w:hAnsi="Arial" w:cs="Arial"/>
                <w:lang w:eastAsia="en-US"/>
              </w:rPr>
            </w:pPr>
            <w:r>
              <w:rPr>
                <w:rFonts w:ascii="Arial" w:hAnsi="Arial" w:cs="Arial"/>
                <w:lang w:eastAsia="en-US"/>
              </w:rPr>
              <w:t>This approach is also supported in that o</w:t>
            </w:r>
            <w:r w:rsidR="00BE0D03">
              <w:rPr>
                <w:rFonts w:ascii="Arial" w:hAnsi="Arial" w:cs="Arial"/>
                <w:lang w:eastAsia="en-US"/>
              </w:rPr>
              <w:t xml:space="preserve">ver recent </w:t>
            </w:r>
            <w:r w:rsidR="008E0927">
              <w:rPr>
                <w:rFonts w:ascii="Arial" w:hAnsi="Arial" w:cs="Arial"/>
                <w:lang w:eastAsia="en-US"/>
              </w:rPr>
              <w:t>year</w:t>
            </w:r>
            <w:r w:rsidR="00BE0D03">
              <w:rPr>
                <w:rFonts w:ascii="Arial" w:hAnsi="Arial" w:cs="Arial"/>
                <w:lang w:eastAsia="en-US"/>
              </w:rPr>
              <w:t xml:space="preserve">s, </w:t>
            </w:r>
            <w:r w:rsidR="00D27D98">
              <w:rPr>
                <w:rFonts w:ascii="Arial" w:hAnsi="Arial" w:cs="Arial"/>
                <w:lang w:eastAsia="en-US"/>
              </w:rPr>
              <w:t xml:space="preserve">with the heightened scrutiny of police funding; </w:t>
            </w:r>
            <w:r w:rsidR="004D07AD">
              <w:rPr>
                <w:rFonts w:ascii="Arial" w:hAnsi="Arial" w:cs="Arial"/>
                <w:lang w:eastAsia="en-US"/>
              </w:rPr>
              <w:t>t</w:t>
            </w:r>
            <w:r w:rsidR="004D07AD" w:rsidRPr="00995E23">
              <w:rPr>
                <w:rFonts w:ascii="Arial" w:hAnsi="Arial" w:cs="Arial"/>
                <w:lang w:eastAsia="en-US"/>
              </w:rPr>
              <w:t xml:space="preserve">he guidance issued to Commissioners by the Minister for Policing &amp; the Fire Service, setting out the Government’s expectations around the information to be published by Police </w:t>
            </w:r>
            <w:r w:rsidR="00E3379F">
              <w:rPr>
                <w:rFonts w:ascii="Arial" w:hAnsi="Arial" w:cs="Arial"/>
                <w:lang w:eastAsia="en-US"/>
              </w:rPr>
              <w:t>and</w:t>
            </w:r>
            <w:r w:rsidR="004D07AD" w:rsidRPr="00995E23">
              <w:rPr>
                <w:rFonts w:ascii="Arial" w:hAnsi="Arial" w:cs="Arial"/>
                <w:lang w:eastAsia="en-US"/>
              </w:rPr>
              <w:t xml:space="preserve"> Crime Commissioners on their financial reserves strategies; the planning for </w:t>
            </w:r>
            <w:r w:rsidR="00B464F5">
              <w:rPr>
                <w:rFonts w:ascii="Arial" w:hAnsi="Arial" w:cs="Arial"/>
                <w:lang w:eastAsia="en-US"/>
              </w:rPr>
              <w:t>future budget setting and funding rounds</w:t>
            </w:r>
            <w:r w:rsidR="00D27D98" w:rsidRPr="004D07AD">
              <w:rPr>
                <w:rFonts w:ascii="Arial" w:hAnsi="Arial" w:cs="Arial"/>
                <w:lang w:eastAsia="en-US"/>
              </w:rPr>
              <w:t>;</w:t>
            </w:r>
            <w:r w:rsidR="003E5D52">
              <w:rPr>
                <w:rFonts w:ascii="Arial" w:hAnsi="Arial" w:cs="Arial"/>
                <w:lang w:eastAsia="en-US"/>
              </w:rPr>
              <w:t xml:space="preserve"> </w:t>
            </w:r>
            <w:r w:rsidR="005D0966">
              <w:rPr>
                <w:rFonts w:ascii="Arial" w:hAnsi="Arial" w:cs="Arial"/>
                <w:lang w:eastAsia="en-US"/>
              </w:rPr>
              <w:t>and the proposed transition arrangements for the implementation of a new funding formula,</w:t>
            </w:r>
            <w:r w:rsidR="00BE0D03">
              <w:rPr>
                <w:rFonts w:ascii="Arial" w:hAnsi="Arial" w:cs="Arial"/>
                <w:lang w:eastAsia="en-US"/>
              </w:rPr>
              <w:t xml:space="preserve"> reserves </w:t>
            </w:r>
            <w:r w:rsidR="00CF3AC0">
              <w:rPr>
                <w:rFonts w:ascii="Arial" w:hAnsi="Arial" w:cs="Arial"/>
                <w:lang w:eastAsia="en-US"/>
              </w:rPr>
              <w:t xml:space="preserve">and committed funds </w:t>
            </w:r>
            <w:r w:rsidR="00BE0D03">
              <w:rPr>
                <w:rFonts w:ascii="Arial" w:hAnsi="Arial" w:cs="Arial"/>
                <w:lang w:eastAsia="en-US"/>
              </w:rPr>
              <w:t xml:space="preserve">held by Commissioners have come under the spotlight </w:t>
            </w:r>
            <w:r w:rsidR="005D0966">
              <w:rPr>
                <w:rFonts w:ascii="Arial" w:hAnsi="Arial" w:cs="Arial"/>
                <w:lang w:eastAsia="en-US"/>
              </w:rPr>
              <w:t>from Central Government</w:t>
            </w:r>
            <w:r w:rsidR="004D07AD">
              <w:rPr>
                <w:rFonts w:ascii="Arial" w:hAnsi="Arial" w:cs="Arial"/>
                <w:lang w:eastAsia="en-US"/>
              </w:rPr>
              <w:t xml:space="preserve"> and </w:t>
            </w:r>
            <w:r w:rsidR="0069535A">
              <w:rPr>
                <w:rFonts w:ascii="Arial" w:hAnsi="Arial" w:cs="Arial"/>
                <w:lang w:eastAsia="en-US"/>
              </w:rPr>
              <w:t xml:space="preserve">the </w:t>
            </w:r>
            <w:r w:rsidR="004D07AD">
              <w:rPr>
                <w:rFonts w:ascii="Arial" w:hAnsi="Arial" w:cs="Arial"/>
                <w:lang w:eastAsia="en-US"/>
              </w:rPr>
              <w:t>wider public</w:t>
            </w:r>
            <w:r>
              <w:rPr>
                <w:rFonts w:ascii="Arial" w:hAnsi="Arial" w:cs="Arial"/>
                <w:lang w:eastAsia="en-US"/>
              </w:rPr>
              <w:t xml:space="preserve">.  Therefore, an endorsed and </w:t>
            </w:r>
            <w:r w:rsidR="00000C49">
              <w:rPr>
                <w:rFonts w:ascii="Arial" w:hAnsi="Arial" w:cs="Arial"/>
                <w:lang w:eastAsia="en-US"/>
              </w:rPr>
              <w:t>publicly</w:t>
            </w:r>
            <w:r>
              <w:rPr>
                <w:rFonts w:ascii="Arial" w:hAnsi="Arial" w:cs="Arial"/>
                <w:lang w:eastAsia="en-US"/>
              </w:rPr>
              <w:t xml:space="preserve"> available Reserves </w:t>
            </w:r>
            <w:r w:rsidR="00A920A6">
              <w:rPr>
                <w:rFonts w:ascii="Arial" w:hAnsi="Arial" w:cs="Arial"/>
                <w:lang w:eastAsia="en-US"/>
              </w:rPr>
              <w:t>and Committed Funds S</w:t>
            </w:r>
            <w:r>
              <w:rPr>
                <w:rFonts w:ascii="Arial" w:hAnsi="Arial" w:cs="Arial"/>
                <w:lang w:eastAsia="en-US"/>
              </w:rPr>
              <w:t>trategy provides context to the Commissioner’s over</w:t>
            </w:r>
            <w:r w:rsidR="005709F0">
              <w:rPr>
                <w:rFonts w:ascii="Arial" w:hAnsi="Arial" w:cs="Arial"/>
                <w:lang w:eastAsia="en-US"/>
              </w:rPr>
              <w:t>all financial position</w:t>
            </w:r>
          </w:p>
        </w:tc>
      </w:tr>
      <w:tr w:rsidR="00CE0303" w14:paraId="25FEC1D7" w14:textId="77777777" w:rsidTr="000167AE">
        <w:tc>
          <w:tcPr>
            <w:tcW w:w="684" w:type="dxa"/>
          </w:tcPr>
          <w:p w14:paraId="701C894E" w14:textId="77777777" w:rsidR="00CE0303" w:rsidRDefault="00CE0303" w:rsidP="001C1909">
            <w:pPr>
              <w:spacing w:after="0" w:line="240" w:lineRule="auto"/>
              <w:rPr>
                <w:rFonts w:ascii="Arial" w:hAnsi="Arial" w:cs="Arial"/>
                <w:b/>
                <w:sz w:val="24"/>
                <w:szCs w:val="24"/>
              </w:rPr>
            </w:pPr>
            <w:r>
              <w:rPr>
                <w:rFonts w:ascii="Arial" w:hAnsi="Arial" w:cs="Arial"/>
                <w:b/>
                <w:sz w:val="24"/>
                <w:szCs w:val="24"/>
              </w:rPr>
              <w:lastRenderedPageBreak/>
              <w:t>3.</w:t>
            </w:r>
          </w:p>
          <w:p w14:paraId="11CC5A91" w14:textId="77777777" w:rsidR="00CE0303" w:rsidRDefault="00CE0303" w:rsidP="001C1909">
            <w:pPr>
              <w:spacing w:after="0" w:line="240" w:lineRule="auto"/>
              <w:rPr>
                <w:rFonts w:ascii="Arial" w:hAnsi="Arial" w:cs="Arial"/>
                <w:sz w:val="24"/>
                <w:szCs w:val="24"/>
              </w:rPr>
            </w:pPr>
            <w:r>
              <w:rPr>
                <w:rFonts w:ascii="Arial" w:hAnsi="Arial" w:cs="Arial"/>
                <w:sz w:val="24"/>
                <w:szCs w:val="24"/>
              </w:rPr>
              <w:t>3.1</w:t>
            </w:r>
          </w:p>
          <w:p w14:paraId="67BB2F6F" w14:textId="77777777" w:rsidR="004F77BA" w:rsidRDefault="004F77BA" w:rsidP="001C1909">
            <w:pPr>
              <w:spacing w:after="0" w:line="240" w:lineRule="auto"/>
              <w:rPr>
                <w:rFonts w:ascii="Arial" w:hAnsi="Arial" w:cs="Arial"/>
                <w:sz w:val="24"/>
                <w:szCs w:val="24"/>
              </w:rPr>
            </w:pPr>
          </w:p>
          <w:p w14:paraId="0EB2F832" w14:textId="77777777" w:rsidR="00572311" w:rsidRDefault="00572311" w:rsidP="001C1909">
            <w:pPr>
              <w:spacing w:after="0" w:line="240" w:lineRule="auto"/>
              <w:rPr>
                <w:rFonts w:ascii="Arial" w:hAnsi="Arial" w:cs="Arial"/>
                <w:sz w:val="24"/>
                <w:szCs w:val="24"/>
              </w:rPr>
            </w:pPr>
          </w:p>
          <w:p w14:paraId="5F84B8D9" w14:textId="77777777" w:rsidR="001C1909" w:rsidRDefault="001C1909" w:rsidP="001C1909">
            <w:pPr>
              <w:spacing w:after="0" w:line="240" w:lineRule="auto"/>
              <w:rPr>
                <w:rFonts w:ascii="Arial" w:hAnsi="Arial" w:cs="Arial"/>
                <w:sz w:val="24"/>
                <w:szCs w:val="24"/>
              </w:rPr>
            </w:pPr>
          </w:p>
          <w:p w14:paraId="2CD85039" w14:textId="45254C42" w:rsidR="00F46B42" w:rsidRDefault="00F46B42" w:rsidP="001C1909">
            <w:pPr>
              <w:spacing w:after="0" w:line="240" w:lineRule="auto"/>
              <w:rPr>
                <w:rFonts w:ascii="Arial" w:hAnsi="Arial" w:cs="Arial"/>
                <w:sz w:val="24"/>
                <w:szCs w:val="24"/>
              </w:rPr>
            </w:pPr>
          </w:p>
          <w:p w14:paraId="42EB5AB7" w14:textId="77777777" w:rsidR="006C08C3" w:rsidRDefault="006C08C3" w:rsidP="001C1909">
            <w:pPr>
              <w:spacing w:after="0" w:line="240" w:lineRule="auto"/>
              <w:rPr>
                <w:rFonts w:ascii="Arial" w:hAnsi="Arial" w:cs="Arial"/>
                <w:sz w:val="24"/>
                <w:szCs w:val="24"/>
              </w:rPr>
            </w:pPr>
          </w:p>
          <w:p w14:paraId="2294DED1" w14:textId="03353FAC" w:rsidR="00CE0303" w:rsidRDefault="00CE0303" w:rsidP="001C1909">
            <w:pPr>
              <w:spacing w:after="0" w:line="240" w:lineRule="auto"/>
              <w:rPr>
                <w:rFonts w:ascii="Arial" w:hAnsi="Arial" w:cs="Arial"/>
                <w:sz w:val="24"/>
                <w:szCs w:val="24"/>
              </w:rPr>
            </w:pPr>
            <w:r>
              <w:rPr>
                <w:rFonts w:ascii="Arial" w:hAnsi="Arial" w:cs="Arial"/>
                <w:sz w:val="24"/>
                <w:szCs w:val="24"/>
              </w:rPr>
              <w:lastRenderedPageBreak/>
              <w:t>3.2</w:t>
            </w:r>
          </w:p>
          <w:p w14:paraId="4434AE07" w14:textId="77777777" w:rsidR="00CE0303" w:rsidRDefault="00CE0303" w:rsidP="001C1909">
            <w:pPr>
              <w:spacing w:after="0" w:line="240" w:lineRule="auto"/>
              <w:rPr>
                <w:rFonts w:ascii="Arial" w:hAnsi="Arial" w:cs="Arial"/>
                <w:sz w:val="24"/>
                <w:szCs w:val="24"/>
              </w:rPr>
            </w:pPr>
          </w:p>
          <w:p w14:paraId="34051291" w14:textId="77777777" w:rsidR="00CE0303" w:rsidRDefault="00CE0303" w:rsidP="001C1909">
            <w:pPr>
              <w:spacing w:after="0" w:line="240" w:lineRule="auto"/>
              <w:rPr>
                <w:rFonts w:ascii="Arial" w:hAnsi="Arial" w:cs="Arial"/>
                <w:sz w:val="24"/>
                <w:szCs w:val="24"/>
              </w:rPr>
            </w:pPr>
          </w:p>
          <w:p w14:paraId="41A61E37" w14:textId="77777777" w:rsidR="00CE0303" w:rsidRDefault="00CE0303" w:rsidP="001C1909">
            <w:pPr>
              <w:spacing w:after="0" w:line="240" w:lineRule="auto"/>
              <w:rPr>
                <w:rFonts w:ascii="Arial" w:hAnsi="Arial" w:cs="Arial"/>
                <w:sz w:val="24"/>
                <w:szCs w:val="24"/>
              </w:rPr>
            </w:pPr>
          </w:p>
          <w:p w14:paraId="1CE20025" w14:textId="77777777" w:rsidR="00CE0303" w:rsidRDefault="00CE0303" w:rsidP="001C1909">
            <w:pPr>
              <w:spacing w:after="0" w:line="240" w:lineRule="auto"/>
              <w:rPr>
                <w:rFonts w:ascii="Arial" w:hAnsi="Arial" w:cs="Arial"/>
                <w:sz w:val="24"/>
                <w:szCs w:val="24"/>
              </w:rPr>
            </w:pPr>
          </w:p>
          <w:p w14:paraId="252C4EF4" w14:textId="77777777" w:rsidR="00CE0303" w:rsidRDefault="00CE0303" w:rsidP="001C1909">
            <w:pPr>
              <w:spacing w:after="0" w:line="240" w:lineRule="auto"/>
              <w:rPr>
                <w:rFonts w:ascii="Arial" w:hAnsi="Arial" w:cs="Arial"/>
                <w:sz w:val="24"/>
                <w:szCs w:val="24"/>
              </w:rPr>
            </w:pPr>
          </w:p>
          <w:p w14:paraId="2FDDB35E" w14:textId="77777777" w:rsidR="00CE0303" w:rsidRDefault="00CE0303" w:rsidP="001C1909">
            <w:pPr>
              <w:spacing w:after="0" w:line="240" w:lineRule="auto"/>
              <w:rPr>
                <w:rFonts w:ascii="Arial" w:hAnsi="Arial" w:cs="Arial"/>
                <w:sz w:val="24"/>
                <w:szCs w:val="24"/>
              </w:rPr>
            </w:pPr>
          </w:p>
          <w:p w14:paraId="6736F6FC" w14:textId="77777777" w:rsidR="00CE0303" w:rsidRDefault="00CE0303" w:rsidP="001C1909">
            <w:pPr>
              <w:spacing w:after="0" w:line="240" w:lineRule="auto"/>
              <w:rPr>
                <w:rFonts w:ascii="Arial" w:hAnsi="Arial" w:cs="Arial"/>
                <w:sz w:val="24"/>
                <w:szCs w:val="24"/>
              </w:rPr>
            </w:pPr>
          </w:p>
          <w:p w14:paraId="42AE1995" w14:textId="77777777" w:rsidR="00CE0303" w:rsidRDefault="00CE0303" w:rsidP="001C1909">
            <w:pPr>
              <w:spacing w:after="0" w:line="240" w:lineRule="auto"/>
              <w:rPr>
                <w:rFonts w:ascii="Arial" w:hAnsi="Arial" w:cs="Arial"/>
                <w:sz w:val="24"/>
                <w:szCs w:val="24"/>
              </w:rPr>
            </w:pPr>
          </w:p>
          <w:p w14:paraId="2C184285" w14:textId="77777777" w:rsidR="00CE0303" w:rsidRDefault="00CE0303" w:rsidP="001C1909">
            <w:pPr>
              <w:spacing w:after="0" w:line="240" w:lineRule="auto"/>
              <w:rPr>
                <w:rFonts w:ascii="Arial" w:hAnsi="Arial" w:cs="Arial"/>
                <w:sz w:val="24"/>
                <w:szCs w:val="24"/>
              </w:rPr>
            </w:pPr>
          </w:p>
          <w:p w14:paraId="39BCB68B" w14:textId="77777777" w:rsidR="00CE0303" w:rsidRDefault="00CE0303" w:rsidP="001C1909">
            <w:pPr>
              <w:spacing w:after="0" w:line="240" w:lineRule="auto"/>
              <w:rPr>
                <w:rFonts w:ascii="Arial" w:hAnsi="Arial" w:cs="Arial"/>
                <w:sz w:val="24"/>
                <w:szCs w:val="24"/>
              </w:rPr>
            </w:pPr>
          </w:p>
          <w:p w14:paraId="17B3BE40" w14:textId="1A1BC880" w:rsidR="00CE0303" w:rsidRDefault="00CE0303" w:rsidP="001C1909">
            <w:pPr>
              <w:spacing w:after="0" w:line="240" w:lineRule="auto"/>
              <w:rPr>
                <w:rFonts w:ascii="Arial" w:hAnsi="Arial" w:cs="Arial"/>
                <w:sz w:val="24"/>
                <w:szCs w:val="24"/>
              </w:rPr>
            </w:pPr>
          </w:p>
          <w:p w14:paraId="36E78F39" w14:textId="54E7D0B1" w:rsidR="001C0608" w:rsidRDefault="001C0608" w:rsidP="001C1909">
            <w:pPr>
              <w:spacing w:after="0" w:line="240" w:lineRule="auto"/>
              <w:rPr>
                <w:rFonts w:ascii="Arial" w:hAnsi="Arial" w:cs="Arial"/>
                <w:sz w:val="24"/>
                <w:szCs w:val="24"/>
              </w:rPr>
            </w:pPr>
          </w:p>
          <w:p w14:paraId="5C3E0904" w14:textId="52ECBBD0" w:rsidR="0089020A" w:rsidRDefault="0089020A" w:rsidP="001C1909">
            <w:pPr>
              <w:spacing w:after="0" w:line="240" w:lineRule="auto"/>
              <w:rPr>
                <w:rFonts w:ascii="Arial" w:hAnsi="Arial" w:cs="Arial"/>
                <w:sz w:val="24"/>
                <w:szCs w:val="24"/>
              </w:rPr>
            </w:pPr>
          </w:p>
          <w:p w14:paraId="699B2698" w14:textId="00247B5A" w:rsidR="0089020A" w:rsidRDefault="0089020A" w:rsidP="001C1909">
            <w:pPr>
              <w:spacing w:after="0" w:line="240" w:lineRule="auto"/>
              <w:rPr>
                <w:rFonts w:ascii="Arial" w:hAnsi="Arial" w:cs="Arial"/>
                <w:sz w:val="24"/>
                <w:szCs w:val="24"/>
              </w:rPr>
            </w:pPr>
          </w:p>
          <w:p w14:paraId="129CCEEA" w14:textId="24BAA8B9" w:rsidR="0089020A" w:rsidRDefault="0089020A" w:rsidP="001C1909">
            <w:pPr>
              <w:spacing w:after="0" w:line="240" w:lineRule="auto"/>
              <w:rPr>
                <w:rFonts w:ascii="Arial" w:hAnsi="Arial" w:cs="Arial"/>
                <w:sz w:val="24"/>
                <w:szCs w:val="24"/>
              </w:rPr>
            </w:pPr>
          </w:p>
          <w:p w14:paraId="27E78E84" w14:textId="79532AAD" w:rsidR="0089020A" w:rsidRDefault="0089020A" w:rsidP="001C1909">
            <w:pPr>
              <w:spacing w:after="0" w:line="240" w:lineRule="auto"/>
              <w:rPr>
                <w:rFonts w:ascii="Arial" w:hAnsi="Arial" w:cs="Arial"/>
                <w:sz w:val="24"/>
                <w:szCs w:val="24"/>
              </w:rPr>
            </w:pPr>
          </w:p>
          <w:p w14:paraId="06992F0E" w14:textId="3DAED778" w:rsidR="0089020A" w:rsidRDefault="0089020A" w:rsidP="001C1909">
            <w:pPr>
              <w:spacing w:after="0" w:line="240" w:lineRule="auto"/>
              <w:rPr>
                <w:rFonts w:ascii="Arial" w:hAnsi="Arial" w:cs="Arial"/>
                <w:sz w:val="24"/>
                <w:szCs w:val="24"/>
              </w:rPr>
            </w:pPr>
          </w:p>
          <w:p w14:paraId="778CF6F3" w14:textId="75EAB8BE" w:rsidR="0089020A" w:rsidRDefault="0089020A" w:rsidP="001C1909">
            <w:pPr>
              <w:spacing w:after="0" w:line="240" w:lineRule="auto"/>
              <w:rPr>
                <w:rFonts w:ascii="Arial" w:hAnsi="Arial" w:cs="Arial"/>
                <w:sz w:val="24"/>
                <w:szCs w:val="24"/>
              </w:rPr>
            </w:pPr>
          </w:p>
          <w:p w14:paraId="48BE4397" w14:textId="0B8B8511" w:rsidR="0089020A" w:rsidRDefault="00D542AA" w:rsidP="001C1909">
            <w:pPr>
              <w:spacing w:after="0" w:line="240" w:lineRule="auto"/>
              <w:rPr>
                <w:rFonts w:ascii="Arial" w:hAnsi="Arial" w:cs="Arial"/>
                <w:sz w:val="24"/>
                <w:szCs w:val="24"/>
              </w:rPr>
            </w:pPr>
            <w:r w:rsidRPr="00D542AA">
              <w:rPr>
                <w:rFonts w:ascii="Arial" w:hAnsi="Arial" w:cs="Arial"/>
                <w:sz w:val="24"/>
                <w:szCs w:val="24"/>
              </w:rPr>
              <w:t>3.3</w:t>
            </w:r>
          </w:p>
          <w:p w14:paraId="4B73BD2F" w14:textId="24493FA6" w:rsidR="0089020A" w:rsidRDefault="0089020A" w:rsidP="001C1909">
            <w:pPr>
              <w:spacing w:after="0" w:line="240" w:lineRule="auto"/>
              <w:rPr>
                <w:rFonts w:ascii="Arial" w:hAnsi="Arial" w:cs="Arial"/>
                <w:sz w:val="24"/>
                <w:szCs w:val="24"/>
              </w:rPr>
            </w:pPr>
          </w:p>
          <w:p w14:paraId="291B9594" w14:textId="77777777" w:rsidR="001C7ED8" w:rsidRDefault="001C7ED8" w:rsidP="001C1909">
            <w:pPr>
              <w:spacing w:after="0" w:line="240" w:lineRule="auto"/>
              <w:rPr>
                <w:rFonts w:ascii="Arial" w:hAnsi="Arial" w:cs="Arial"/>
                <w:sz w:val="24"/>
                <w:szCs w:val="24"/>
              </w:rPr>
            </w:pPr>
          </w:p>
          <w:p w14:paraId="17962819" w14:textId="768D0618" w:rsidR="0089020A" w:rsidRDefault="0089020A" w:rsidP="001C1909">
            <w:pPr>
              <w:spacing w:after="0" w:line="240" w:lineRule="auto"/>
              <w:rPr>
                <w:rFonts w:ascii="Arial" w:hAnsi="Arial" w:cs="Arial"/>
                <w:sz w:val="24"/>
                <w:szCs w:val="24"/>
              </w:rPr>
            </w:pPr>
          </w:p>
          <w:p w14:paraId="1B2FBDB5" w14:textId="118D8D51" w:rsidR="0089020A" w:rsidRDefault="0089020A" w:rsidP="001C1909">
            <w:pPr>
              <w:spacing w:after="0" w:line="240" w:lineRule="auto"/>
              <w:rPr>
                <w:rFonts w:ascii="Arial" w:hAnsi="Arial" w:cs="Arial"/>
                <w:sz w:val="24"/>
                <w:szCs w:val="24"/>
              </w:rPr>
            </w:pPr>
          </w:p>
          <w:p w14:paraId="5D446882" w14:textId="5B9C6A3C" w:rsidR="001C0608" w:rsidRDefault="001C0608" w:rsidP="001C1909">
            <w:pPr>
              <w:spacing w:after="0" w:line="240" w:lineRule="auto"/>
              <w:rPr>
                <w:rFonts w:ascii="Arial" w:hAnsi="Arial" w:cs="Arial"/>
                <w:sz w:val="24"/>
                <w:szCs w:val="24"/>
              </w:rPr>
            </w:pPr>
          </w:p>
          <w:p w14:paraId="1AA457EA" w14:textId="2DCD76DD" w:rsidR="008A2F6A" w:rsidRDefault="008A2F6A" w:rsidP="001C1909">
            <w:pPr>
              <w:spacing w:after="0" w:line="240" w:lineRule="auto"/>
              <w:rPr>
                <w:rFonts w:ascii="Arial" w:hAnsi="Arial" w:cs="Arial"/>
                <w:sz w:val="24"/>
                <w:szCs w:val="24"/>
              </w:rPr>
            </w:pPr>
          </w:p>
          <w:p w14:paraId="3E55C15F" w14:textId="7AE81F1E" w:rsidR="008A2F6A" w:rsidRDefault="008A2F6A" w:rsidP="001C1909">
            <w:pPr>
              <w:spacing w:after="0" w:line="240" w:lineRule="auto"/>
              <w:rPr>
                <w:rFonts w:ascii="Arial" w:hAnsi="Arial" w:cs="Arial"/>
                <w:sz w:val="24"/>
                <w:szCs w:val="24"/>
              </w:rPr>
            </w:pPr>
          </w:p>
          <w:p w14:paraId="35FEB849" w14:textId="75B023E0" w:rsidR="008A2F6A" w:rsidRDefault="008A2F6A" w:rsidP="001C1909">
            <w:pPr>
              <w:spacing w:after="0" w:line="240" w:lineRule="auto"/>
              <w:rPr>
                <w:rFonts w:ascii="Arial" w:hAnsi="Arial" w:cs="Arial"/>
                <w:sz w:val="24"/>
                <w:szCs w:val="24"/>
              </w:rPr>
            </w:pPr>
          </w:p>
          <w:p w14:paraId="015D4AD4" w14:textId="77E83D0A" w:rsidR="00E30BD3" w:rsidRDefault="006C08C3" w:rsidP="001C1909">
            <w:pPr>
              <w:spacing w:after="0" w:line="240" w:lineRule="auto"/>
              <w:rPr>
                <w:rFonts w:ascii="Arial" w:hAnsi="Arial" w:cs="Arial"/>
                <w:sz w:val="24"/>
                <w:szCs w:val="24"/>
              </w:rPr>
            </w:pPr>
            <w:r>
              <w:rPr>
                <w:rFonts w:ascii="Arial" w:hAnsi="Arial" w:cs="Arial"/>
                <w:sz w:val="24"/>
                <w:szCs w:val="24"/>
              </w:rPr>
              <w:t>3.4</w:t>
            </w:r>
          </w:p>
          <w:p w14:paraId="3585F59D" w14:textId="77777777" w:rsidR="008A2F6A" w:rsidRDefault="008A2F6A" w:rsidP="001C1909">
            <w:pPr>
              <w:spacing w:after="0" w:line="240" w:lineRule="auto"/>
              <w:rPr>
                <w:rFonts w:ascii="Arial" w:hAnsi="Arial" w:cs="Arial"/>
                <w:sz w:val="24"/>
                <w:szCs w:val="24"/>
              </w:rPr>
            </w:pPr>
          </w:p>
          <w:p w14:paraId="4B2A8329" w14:textId="77777777" w:rsidR="00CE0303" w:rsidRDefault="00CE0303" w:rsidP="001C1909">
            <w:pPr>
              <w:spacing w:after="0" w:line="240" w:lineRule="auto"/>
              <w:rPr>
                <w:rFonts w:ascii="Arial" w:hAnsi="Arial" w:cs="Arial"/>
                <w:sz w:val="24"/>
                <w:szCs w:val="24"/>
              </w:rPr>
            </w:pPr>
          </w:p>
          <w:p w14:paraId="38F6918A" w14:textId="77777777" w:rsidR="00CE0303" w:rsidRDefault="00CE0303" w:rsidP="001C1909">
            <w:pPr>
              <w:spacing w:after="0" w:line="240" w:lineRule="auto"/>
              <w:rPr>
                <w:rFonts w:ascii="Arial" w:hAnsi="Arial" w:cs="Arial"/>
                <w:sz w:val="24"/>
                <w:szCs w:val="24"/>
              </w:rPr>
            </w:pPr>
          </w:p>
          <w:p w14:paraId="663A2635" w14:textId="77777777" w:rsidR="00CE0303" w:rsidRDefault="00CE0303" w:rsidP="001C1909">
            <w:pPr>
              <w:spacing w:after="0" w:line="240" w:lineRule="auto"/>
              <w:rPr>
                <w:rFonts w:ascii="Arial" w:hAnsi="Arial" w:cs="Arial"/>
                <w:sz w:val="24"/>
                <w:szCs w:val="24"/>
              </w:rPr>
            </w:pPr>
          </w:p>
          <w:p w14:paraId="5FD8BF9B" w14:textId="77777777" w:rsidR="00CE0303" w:rsidRDefault="00CE0303" w:rsidP="001C1909">
            <w:pPr>
              <w:spacing w:after="0" w:line="240" w:lineRule="auto"/>
              <w:rPr>
                <w:rFonts w:ascii="Arial" w:hAnsi="Arial" w:cs="Arial"/>
                <w:sz w:val="24"/>
                <w:szCs w:val="24"/>
              </w:rPr>
            </w:pPr>
          </w:p>
          <w:p w14:paraId="193B7CEB" w14:textId="6F2C4B8B" w:rsidR="00CE0303" w:rsidRDefault="00CE0303" w:rsidP="001C1909">
            <w:pPr>
              <w:spacing w:after="0" w:line="240" w:lineRule="auto"/>
              <w:rPr>
                <w:rFonts w:ascii="Arial" w:hAnsi="Arial" w:cs="Arial"/>
                <w:sz w:val="24"/>
                <w:szCs w:val="24"/>
              </w:rPr>
            </w:pPr>
          </w:p>
          <w:p w14:paraId="115B0697" w14:textId="6C188254" w:rsidR="008A2F6A" w:rsidRDefault="008A2F6A" w:rsidP="001C1909">
            <w:pPr>
              <w:spacing w:after="0" w:line="240" w:lineRule="auto"/>
              <w:rPr>
                <w:rFonts w:ascii="Arial" w:hAnsi="Arial" w:cs="Arial"/>
                <w:sz w:val="24"/>
                <w:szCs w:val="24"/>
              </w:rPr>
            </w:pPr>
          </w:p>
          <w:p w14:paraId="034CC88E" w14:textId="1CD99DA8" w:rsidR="008A2F6A" w:rsidRDefault="008A2F6A" w:rsidP="001C1909">
            <w:pPr>
              <w:spacing w:after="0" w:line="240" w:lineRule="auto"/>
              <w:rPr>
                <w:rFonts w:ascii="Arial" w:hAnsi="Arial" w:cs="Arial"/>
                <w:sz w:val="24"/>
                <w:szCs w:val="24"/>
              </w:rPr>
            </w:pPr>
          </w:p>
          <w:p w14:paraId="6381EBC1" w14:textId="0D64EFC7" w:rsidR="006C08C3" w:rsidRDefault="006C08C3" w:rsidP="001C1909">
            <w:pPr>
              <w:spacing w:after="0" w:line="240" w:lineRule="auto"/>
              <w:rPr>
                <w:rFonts w:ascii="Arial" w:hAnsi="Arial" w:cs="Arial"/>
                <w:sz w:val="24"/>
                <w:szCs w:val="24"/>
              </w:rPr>
            </w:pPr>
          </w:p>
          <w:p w14:paraId="3A657CAD" w14:textId="77777777" w:rsidR="001C0608" w:rsidRDefault="001C0608" w:rsidP="001C1909">
            <w:pPr>
              <w:spacing w:after="0" w:line="240" w:lineRule="auto"/>
              <w:rPr>
                <w:rFonts w:ascii="Arial" w:hAnsi="Arial" w:cs="Arial"/>
                <w:sz w:val="24"/>
                <w:szCs w:val="24"/>
              </w:rPr>
            </w:pPr>
          </w:p>
          <w:p w14:paraId="5B04014A" w14:textId="4B09CEB9" w:rsidR="00CE0303" w:rsidRDefault="00CE0303" w:rsidP="001C1909">
            <w:pPr>
              <w:spacing w:after="0" w:line="240" w:lineRule="auto"/>
              <w:rPr>
                <w:rFonts w:ascii="Arial" w:hAnsi="Arial" w:cs="Arial"/>
                <w:sz w:val="24"/>
                <w:szCs w:val="24"/>
              </w:rPr>
            </w:pPr>
            <w:r>
              <w:rPr>
                <w:rFonts w:ascii="Arial" w:hAnsi="Arial" w:cs="Arial"/>
                <w:sz w:val="24"/>
                <w:szCs w:val="24"/>
              </w:rPr>
              <w:t>3.</w:t>
            </w:r>
            <w:r w:rsidR="006C08C3">
              <w:rPr>
                <w:rFonts w:ascii="Arial" w:hAnsi="Arial" w:cs="Arial"/>
                <w:sz w:val="24"/>
                <w:szCs w:val="24"/>
              </w:rPr>
              <w:t>5</w:t>
            </w:r>
          </w:p>
          <w:p w14:paraId="43B25EF5" w14:textId="77777777" w:rsidR="00CE0303" w:rsidRDefault="00CE0303" w:rsidP="001C1909">
            <w:pPr>
              <w:spacing w:after="0" w:line="240" w:lineRule="auto"/>
              <w:rPr>
                <w:rFonts w:ascii="Arial" w:hAnsi="Arial" w:cs="Arial"/>
                <w:sz w:val="24"/>
                <w:szCs w:val="24"/>
              </w:rPr>
            </w:pPr>
          </w:p>
          <w:p w14:paraId="2CF1A623" w14:textId="77777777" w:rsidR="00CE0303" w:rsidRDefault="00CE0303" w:rsidP="001C1909">
            <w:pPr>
              <w:spacing w:after="0" w:line="240" w:lineRule="auto"/>
              <w:rPr>
                <w:rFonts w:ascii="Arial" w:hAnsi="Arial" w:cs="Arial"/>
                <w:sz w:val="24"/>
                <w:szCs w:val="24"/>
              </w:rPr>
            </w:pPr>
          </w:p>
          <w:p w14:paraId="4D7F4AFB" w14:textId="77777777" w:rsidR="00CE0303" w:rsidRDefault="00CE0303" w:rsidP="001C1909">
            <w:pPr>
              <w:spacing w:after="0" w:line="240" w:lineRule="auto"/>
              <w:rPr>
                <w:rFonts w:ascii="Arial" w:hAnsi="Arial" w:cs="Arial"/>
                <w:sz w:val="24"/>
                <w:szCs w:val="24"/>
              </w:rPr>
            </w:pPr>
          </w:p>
          <w:p w14:paraId="276C56DA" w14:textId="77777777" w:rsidR="00CE0303" w:rsidRDefault="00CE0303" w:rsidP="001C1909">
            <w:pPr>
              <w:spacing w:after="0" w:line="240" w:lineRule="auto"/>
              <w:rPr>
                <w:rFonts w:ascii="Arial" w:hAnsi="Arial" w:cs="Arial"/>
                <w:sz w:val="24"/>
                <w:szCs w:val="24"/>
              </w:rPr>
            </w:pPr>
          </w:p>
          <w:p w14:paraId="024CB09B" w14:textId="77777777" w:rsidR="00CE0303" w:rsidRDefault="00CE0303" w:rsidP="001C1909">
            <w:pPr>
              <w:spacing w:after="0" w:line="240" w:lineRule="auto"/>
              <w:rPr>
                <w:rFonts w:ascii="Arial" w:hAnsi="Arial" w:cs="Arial"/>
                <w:sz w:val="24"/>
                <w:szCs w:val="24"/>
              </w:rPr>
            </w:pPr>
          </w:p>
          <w:p w14:paraId="531FE1C1" w14:textId="77777777" w:rsidR="00CE0303" w:rsidRDefault="00CE0303" w:rsidP="001C1909">
            <w:pPr>
              <w:spacing w:after="0" w:line="240" w:lineRule="auto"/>
              <w:rPr>
                <w:rFonts w:ascii="Arial" w:hAnsi="Arial" w:cs="Arial"/>
                <w:sz w:val="24"/>
                <w:szCs w:val="24"/>
              </w:rPr>
            </w:pPr>
          </w:p>
          <w:p w14:paraId="4454877B" w14:textId="3A0BB203" w:rsidR="00D4695D" w:rsidRDefault="00D4695D" w:rsidP="001C1909">
            <w:pPr>
              <w:spacing w:after="0" w:line="240" w:lineRule="auto"/>
              <w:rPr>
                <w:rFonts w:ascii="Arial" w:hAnsi="Arial" w:cs="Arial"/>
                <w:sz w:val="24"/>
                <w:szCs w:val="24"/>
              </w:rPr>
            </w:pPr>
          </w:p>
          <w:p w14:paraId="6DB8FDBF" w14:textId="1DC53094" w:rsidR="006C08C3" w:rsidRDefault="006C08C3" w:rsidP="001C1909">
            <w:pPr>
              <w:spacing w:after="0" w:line="240" w:lineRule="auto"/>
              <w:rPr>
                <w:rFonts w:ascii="Arial" w:hAnsi="Arial" w:cs="Arial"/>
                <w:sz w:val="24"/>
                <w:szCs w:val="24"/>
              </w:rPr>
            </w:pPr>
          </w:p>
          <w:p w14:paraId="30E54F85" w14:textId="43E5E40A" w:rsidR="006C08C3" w:rsidRDefault="006C08C3" w:rsidP="001C1909">
            <w:pPr>
              <w:spacing w:after="0" w:line="240" w:lineRule="auto"/>
              <w:rPr>
                <w:rFonts w:ascii="Arial" w:hAnsi="Arial" w:cs="Arial"/>
                <w:sz w:val="24"/>
                <w:szCs w:val="24"/>
              </w:rPr>
            </w:pPr>
          </w:p>
          <w:p w14:paraId="656A1B56" w14:textId="77777777" w:rsidR="006C08C3" w:rsidRDefault="006C08C3" w:rsidP="001C1909">
            <w:pPr>
              <w:spacing w:after="0" w:line="240" w:lineRule="auto"/>
              <w:rPr>
                <w:rFonts w:ascii="Arial" w:hAnsi="Arial" w:cs="Arial"/>
                <w:sz w:val="24"/>
                <w:szCs w:val="24"/>
              </w:rPr>
            </w:pPr>
          </w:p>
          <w:p w14:paraId="4B79F190" w14:textId="65253522" w:rsidR="00F46B42" w:rsidRDefault="00F46B42" w:rsidP="001C1909">
            <w:pPr>
              <w:spacing w:after="0" w:line="240" w:lineRule="auto"/>
              <w:rPr>
                <w:rFonts w:ascii="Arial" w:hAnsi="Arial" w:cs="Arial"/>
                <w:sz w:val="24"/>
                <w:szCs w:val="24"/>
              </w:rPr>
            </w:pPr>
          </w:p>
          <w:p w14:paraId="5F7443AC" w14:textId="79274423" w:rsidR="00D542AA" w:rsidRDefault="00D542AA" w:rsidP="001C1909">
            <w:pPr>
              <w:spacing w:after="0" w:line="240" w:lineRule="auto"/>
              <w:rPr>
                <w:rFonts w:ascii="Arial" w:hAnsi="Arial" w:cs="Arial"/>
                <w:sz w:val="24"/>
                <w:szCs w:val="24"/>
              </w:rPr>
            </w:pPr>
          </w:p>
          <w:p w14:paraId="24942267" w14:textId="77777777" w:rsidR="008A2F6A" w:rsidRDefault="008A2F6A" w:rsidP="001C1909">
            <w:pPr>
              <w:spacing w:after="0" w:line="240" w:lineRule="auto"/>
              <w:rPr>
                <w:rFonts w:ascii="Arial" w:hAnsi="Arial" w:cs="Arial"/>
                <w:sz w:val="24"/>
                <w:szCs w:val="24"/>
              </w:rPr>
            </w:pPr>
          </w:p>
          <w:p w14:paraId="45FBAB92" w14:textId="75BFBCD5" w:rsidR="00CE0303" w:rsidRDefault="00CE0303" w:rsidP="001C1909">
            <w:pPr>
              <w:spacing w:after="0" w:line="240" w:lineRule="auto"/>
              <w:rPr>
                <w:rFonts w:ascii="Arial" w:hAnsi="Arial" w:cs="Arial"/>
                <w:sz w:val="24"/>
                <w:szCs w:val="24"/>
              </w:rPr>
            </w:pPr>
            <w:r>
              <w:rPr>
                <w:rFonts w:ascii="Arial" w:hAnsi="Arial" w:cs="Arial"/>
                <w:sz w:val="24"/>
                <w:szCs w:val="24"/>
              </w:rPr>
              <w:t>3.</w:t>
            </w:r>
            <w:r w:rsidR="006C08C3">
              <w:rPr>
                <w:rFonts w:ascii="Arial" w:hAnsi="Arial" w:cs="Arial"/>
                <w:sz w:val="24"/>
                <w:szCs w:val="24"/>
              </w:rPr>
              <w:t>6</w:t>
            </w:r>
          </w:p>
          <w:p w14:paraId="62F1D1C9" w14:textId="77777777" w:rsidR="00CE0303" w:rsidRDefault="00CE0303" w:rsidP="001C1909">
            <w:pPr>
              <w:spacing w:after="0" w:line="240" w:lineRule="auto"/>
              <w:rPr>
                <w:rFonts w:ascii="Arial" w:hAnsi="Arial" w:cs="Arial"/>
                <w:sz w:val="24"/>
                <w:szCs w:val="24"/>
              </w:rPr>
            </w:pPr>
          </w:p>
          <w:p w14:paraId="7209EC60" w14:textId="77777777" w:rsidR="00CE0303" w:rsidRDefault="00CE0303" w:rsidP="001C1909">
            <w:pPr>
              <w:spacing w:after="0" w:line="240" w:lineRule="auto"/>
              <w:rPr>
                <w:rFonts w:ascii="Arial" w:hAnsi="Arial" w:cs="Arial"/>
                <w:sz w:val="24"/>
                <w:szCs w:val="24"/>
              </w:rPr>
            </w:pPr>
          </w:p>
          <w:p w14:paraId="01BE0F59" w14:textId="77777777" w:rsidR="00CE0303" w:rsidRDefault="00CE0303" w:rsidP="001C1909">
            <w:pPr>
              <w:spacing w:after="0" w:line="240" w:lineRule="auto"/>
              <w:rPr>
                <w:rFonts w:ascii="Arial" w:hAnsi="Arial" w:cs="Arial"/>
                <w:sz w:val="24"/>
                <w:szCs w:val="24"/>
              </w:rPr>
            </w:pPr>
          </w:p>
          <w:p w14:paraId="735F6F2B" w14:textId="77777777" w:rsidR="00CE0303" w:rsidRDefault="00CE0303" w:rsidP="001C1909">
            <w:pPr>
              <w:spacing w:after="0" w:line="240" w:lineRule="auto"/>
              <w:rPr>
                <w:rFonts w:ascii="Arial" w:hAnsi="Arial" w:cs="Arial"/>
                <w:sz w:val="24"/>
                <w:szCs w:val="24"/>
              </w:rPr>
            </w:pPr>
          </w:p>
          <w:p w14:paraId="2F38BA69" w14:textId="77777777" w:rsidR="00CE0303" w:rsidRDefault="00CE0303" w:rsidP="001C1909">
            <w:pPr>
              <w:spacing w:after="0" w:line="240" w:lineRule="auto"/>
              <w:rPr>
                <w:rFonts w:ascii="Arial" w:hAnsi="Arial" w:cs="Arial"/>
                <w:sz w:val="24"/>
                <w:szCs w:val="24"/>
              </w:rPr>
            </w:pPr>
          </w:p>
          <w:p w14:paraId="2E542D61" w14:textId="77777777" w:rsidR="00CE0303" w:rsidRDefault="00CE0303" w:rsidP="001C1909">
            <w:pPr>
              <w:spacing w:after="0" w:line="240" w:lineRule="auto"/>
              <w:rPr>
                <w:rFonts w:ascii="Arial" w:hAnsi="Arial" w:cs="Arial"/>
                <w:sz w:val="24"/>
                <w:szCs w:val="24"/>
              </w:rPr>
            </w:pPr>
          </w:p>
          <w:p w14:paraId="6E5DB6E8" w14:textId="77777777" w:rsidR="00CE0303" w:rsidRDefault="00CE0303" w:rsidP="001C1909">
            <w:pPr>
              <w:spacing w:after="0" w:line="240" w:lineRule="auto"/>
              <w:rPr>
                <w:rFonts w:ascii="Arial" w:hAnsi="Arial" w:cs="Arial"/>
                <w:sz w:val="24"/>
                <w:szCs w:val="24"/>
              </w:rPr>
            </w:pPr>
          </w:p>
          <w:p w14:paraId="1C3EC5DD" w14:textId="77777777" w:rsidR="00CE0303" w:rsidRDefault="00CE0303" w:rsidP="001C1909">
            <w:pPr>
              <w:spacing w:after="0" w:line="240" w:lineRule="auto"/>
              <w:rPr>
                <w:rFonts w:ascii="Arial" w:hAnsi="Arial" w:cs="Arial"/>
                <w:sz w:val="24"/>
                <w:szCs w:val="24"/>
              </w:rPr>
            </w:pPr>
          </w:p>
          <w:p w14:paraId="2F397233" w14:textId="61F88937" w:rsidR="00CE0303" w:rsidRDefault="00CE0303" w:rsidP="001C1909">
            <w:pPr>
              <w:spacing w:after="0" w:line="240" w:lineRule="auto"/>
              <w:rPr>
                <w:rFonts w:ascii="Arial" w:hAnsi="Arial" w:cs="Arial"/>
                <w:sz w:val="24"/>
                <w:szCs w:val="24"/>
              </w:rPr>
            </w:pPr>
          </w:p>
          <w:p w14:paraId="16B4DB96" w14:textId="3358C822" w:rsidR="008A2F6A" w:rsidRDefault="008A2F6A" w:rsidP="001C1909">
            <w:pPr>
              <w:spacing w:after="0" w:line="240" w:lineRule="auto"/>
              <w:rPr>
                <w:rFonts w:ascii="Arial" w:hAnsi="Arial" w:cs="Arial"/>
                <w:sz w:val="24"/>
                <w:szCs w:val="24"/>
              </w:rPr>
            </w:pPr>
          </w:p>
          <w:p w14:paraId="7002947E" w14:textId="77777777" w:rsidR="008A2F6A" w:rsidRDefault="008A2F6A" w:rsidP="001C1909">
            <w:pPr>
              <w:spacing w:after="0" w:line="240" w:lineRule="auto"/>
              <w:rPr>
                <w:rFonts w:ascii="Arial" w:hAnsi="Arial" w:cs="Arial"/>
                <w:sz w:val="24"/>
                <w:szCs w:val="24"/>
              </w:rPr>
            </w:pPr>
          </w:p>
          <w:p w14:paraId="49DEC9DF" w14:textId="77777777" w:rsidR="00CE0303" w:rsidRDefault="00CE0303" w:rsidP="001C1909">
            <w:pPr>
              <w:spacing w:after="0" w:line="240" w:lineRule="auto"/>
              <w:rPr>
                <w:rFonts w:ascii="Arial" w:hAnsi="Arial" w:cs="Arial"/>
                <w:sz w:val="24"/>
                <w:szCs w:val="24"/>
              </w:rPr>
            </w:pPr>
          </w:p>
          <w:p w14:paraId="49960B2E" w14:textId="207EAAF7" w:rsidR="00CE0303" w:rsidRDefault="00CE0303" w:rsidP="001C1909">
            <w:pPr>
              <w:spacing w:after="0" w:line="240" w:lineRule="auto"/>
              <w:rPr>
                <w:rFonts w:ascii="Arial" w:hAnsi="Arial" w:cs="Arial"/>
                <w:sz w:val="24"/>
                <w:szCs w:val="24"/>
              </w:rPr>
            </w:pPr>
          </w:p>
          <w:p w14:paraId="1C37B2EA" w14:textId="3120AB59" w:rsidR="00CE0303" w:rsidRPr="006C08C3" w:rsidRDefault="00CE0303" w:rsidP="001C1909">
            <w:pPr>
              <w:spacing w:after="0" w:line="240" w:lineRule="auto"/>
              <w:rPr>
                <w:rFonts w:ascii="Arial" w:hAnsi="Arial" w:cs="Arial"/>
                <w:bCs/>
                <w:sz w:val="24"/>
                <w:szCs w:val="24"/>
              </w:rPr>
            </w:pPr>
          </w:p>
        </w:tc>
        <w:tc>
          <w:tcPr>
            <w:tcW w:w="8376" w:type="dxa"/>
          </w:tcPr>
          <w:p w14:paraId="1FD78544" w14:textId="77777777" w:rsidR="00CE0303" w:rsidRDefault="00CE0303" w:rsidP="001C1909">
            <w:pPr>
              <w:spacing w:after="0" w:line="240" w:lineRule="auto"/>
              <w:jc w:val="both"/>
              <w:rPr>
                <w:rFonts w:ascii="Arial" w:hAnsi="Arial" w:cs="Arial"/>
                <w:b/>
                <w:sz w:val="24"/>
                <w:szCs w:val="24"/>
                <w:u w:val="single"/>
              </w:rPr>
            </w:pPr>
            <w:r>
              <w:rPr>
                <w:rFonts w:ascii="Arial" w:hAnsi="Arial" w:cs="Arial"/>
                <w:b/>
                <w:sz w:val="24"/>
                <w:szCs w:val="24"/>
                <w:u w:val="single"/>
              </w:rPr>
              <w:lastRenderedPageBreak/>
              <w:t>BACKGROUND</w:t>
            </w:r>
          </w:p>
          <w:p w14:paraId="2A203568" w14:textId="77777777" w:rsidR="00CE0303" w:rsidRDefault="00CE0303" w:rsidP="001C1909">
            <w:pPr>
              <w:pStyle w:val="ListParagraph"/>
              <w:autoSpaceDE w:val="0"/>
              <w:autoSpaceDN w:val="0"/>
              <w:ind w:left="0"/>
              <w:jc w:val="both"/>
              <w:rPr>
                <w:rFonts w:ascii="Arial" w:hAnsi="Arial" w:cs="Arial"/>
              </w:rPr>
            </w:pPr>
            <w:r>
              <w:rPr>
                <w:rFonts w:ascii="Arial" w:hAnsi="Arial" w:cs="Arial"/>
              </w:rPr>
              <w:t>The Local Government Finance Act 1992, Sections 31A, 32, 42A and 43 require ‘Billing’ and ‘Precepting’ Authorities in England and Wales to have regard to the level of reserves needed for meeting estimated future expenditure when calculating the budget requirement.  In this context, the Commissioner is a Precepting Authority.</w:t>
            </w:r>
          </w:p>
          <w:p w14:paraId="30AD96FF" w14:textId="77777777" w:rsidR="00CE0303" w:rsidRDefault="00CE0303" w:rsidP="001C1909">
            <w:pPr>
              <w:pStyle w:val="ListParagraph"/>
              <w:autoSpaceDE w:val="0"/>
              <w:autoSpaceDN w:val="0"/>
              <w:ind w:left="0"/>
              <w:jc w:val="both"/>
              <w:rPr>
                <w:rFonts w:ascii="Arial" w:hAnsi="Arial" w:cs="Arial"/>
              </w:rPr>
            </w:pPr>
          </w:p>
          <w:p w14:paraId="0E8681AB" w14:textId="46C69F72" w:rsidR="00CE0303" w:rsidRDefault="00CE0303" w:rsidP="001C1909">
            <w:pPr>
              <w:pStyle w:val="ListParagraph"/>
              <w:autoSpaceDE w:val="0"/>
              <w:autoSpaceDN w:val="0"/>
              <w:ind w:left="0"/>
              <w:jc w:val="both"/>
              <w:rPr>
                <w:rFonts w:ascii="Arial" w:hAnsi="Arial" w:cs="Arial"/>
              </w:rPr>
            </w:pPr>
            <w:r>
              <w:rPr>
                <w:rFonts w:ascii="Arial" w:hAnsi="Arial" w:cs="Arial"/>
              </w:rPr>
              <w:lastRenderedPageBreak/>
              <w:t>There are also a range of safeguards in place that help prevent the Commissioner over-committing financially.  These include:</w:t>
            </w:r>
          </w:p>
          <w:p w14:paraId="5929261B" w14:textId="77777777" w:rsidR="00CE0303" w:rsidRDefault="00CE0303" w:rsidP="001C1909">
            <w:pPr>
              <w:pStyle w:val="ListParagraph"/>
              <w:autoSpaceDE w:val="0"/>
              <w:autoSpaceDN w:val="0"/>
              <w:ind w:left="0"/>
              <w:jc w:val="both"/>
              <w:rPr>
                <w:rFonts w:ascii="Arial" w:hAnsi="Arial" w:cs="Arial"/>
              </w:rPr>
            </w:pPr>
          </w:p>
          <w:p w14:paraId="1AA7C15D" w14:textId="77777777" w:rsidR="00CE0303" w:rsidRDefault="00CE0303" w:rsidP="001C1909">
            <w:pPr>
              <w:pStyle w:val="ListParagraph"/>
              <w:numPr>
                <w:ilvl w:val="0"/>
                <w:numId w:val="3"/>
              </w:numPr>
              <w:autoSpaceDE w:val="0"/>
              <w:autoSpaceDN w:val="0"/>
              <w:jc w:val="both"/>
              <w:rPr>
                <w:rFonts w:ascii="Arial" w:hAnsi="Arial" w:cs="Arial"/>
              </w:rPr>
            </w:pPr>
            <w:r>
              <w:rPr>
                <w:rFonts w:ascii="Arial" w:hAnsi="Arial" w:cs="Arial"/>
              </w:rPr>
              <w:t xml:space="preserve">The balanced budget requirement, as stipulated in </w:t>
            </w:r>
            <w:r w:rsidR="000710D7">
              <w:rPr>
                <w:rFonts w:ascii="Arial" w:hAnsi="Arial" w:cs="Arial"/>
              </w:rPr>
              <w:t>S</w:t>
            </w:r>
            <w:r>
              <w:rPr>
                <w:rFonts w:ascii="Arial" w:hAnsi="Arial" w:cs="Arial"/>
              </w:rPr>
              <w:t>ections 31A, 32, 42A and 43 of the Local Government Finance Act 1992, as amended;</w:t>
            </w:r>
          </w:p>
          <w:p w14:paraId="30B1C150" w14:textId="1A8DF8E3" w:rsidR="00CE0303" w:rsidRDefault="00CE0303" w:rsidP="001C1909">
            <w:pPr>
              <w:pStyle w:val="ListParagraph"/>
              <w:numPr>
                <w:ilvl w:val="0"/>
                <w:numId w:val="3"/>
              </w:numPr>
              <w:autoSpaceDE w:val="0"/>
              <w:autoSpaceDN w:val="0"/>
              <w:jc w:val="both"/>
              <w:rPr>
                <w:rFonts w:ascii="Arial" w:hAnsi="Arial" w:cs="Arial"/>
              </w:rPr>
            </w:pPr>
            <w:r>
              <w:rPr>
                <w:rFonts w:ascii="Arial" w:hAnsi="Arial" w:cs="Arial"/>
              </w:rPr>
              <w:t>The Chief Finance Officer’s (CFO) duty to report on the robustness of estimates a</w:t>
            </w:r>
            <w:r w:rsidR="000710D7">
              <w:rPr>
                <w:rFonts w:ascii="Arial" w:hAnsi="Arial" w:cs="Arial"/>
              </w:rPr>
              <w:t>nd adequacy of reserves (under S</w:t>
            </w:r>
            <w:r>
              <w:rPr>
                <w:rFonts w:ascii="Arial" w:hAnsi="Arial" w:cs="Arial"/>
              </w:rPr>
              <w:t xml:space="preserve">ection 25 of the Local Government Act 2003) when the Commissioner is considering </w:t>
            </w:r>
            <w:r w:rsidR="0038472A">
              <w:rPr>
                <w:rFonts w:ascii="Arial" w:hAnsi="Arial" w:cs="Arial"/>
              </w:rPr>
              <w:t>the</w:t>
            </w:r>
            <w:r>
              <w:rPr>
                <w:rFonts w:ascii="Arial" w:hAnsi="Arial" w:cs="Arial"/>
              </w:rPr>
              <w:t xml:space="preserve"> budget requirement;</w:t>
            </w:r>
          </w:p>
          <w:p w14:paraId="02FE2135" w14:textId="08C4C1ED" w:rsidR="006C08C3" w:rsidRPr="006C08C3" w:rsidRDefault="00CE0303" w:rsidP="00420949">
            <w:pPr>
              <w:pStyle w:val="ListParagraph"/>
              <w:numPr>
                <w:ilvl w:val="0"/>
                <w:numId w:val="3"/>
              </w:numPr>
              <w:autoSpaceDE w:val="0"/>
              <w:autoSpaceDN w:val="0"/>
              <w:jc w:val="both"/>
              <w:rPr>
                <w:rFonts w:ascii="Arial" w:hAnsi="Arial" w:cs="Arial"/>
              </w:rPr>
            </w:pPr>
            <w:r w:rsidRPr="006C08C3">
              <w:rPr>
                <w:rFonts w:ascii="Arial" w:hAnsi="Arial" w:cs="Arial"/>
              </w:rPr>
              <w:t xml:space="preserve">The legislative requirement for the Commissioner to make arrangements for the proper administration of </w:t>
            </w:r>
            <w:r w:rsidR="0038472A" w:rsidRPr="006C08C3">
              <w:rPr>
                <w:rFonts w:ascii="Arial" w:hAnsi="Arial" w:cs="Arial"/>
              </w:rPr>
              <w:t xml:space="preserve">the </w:t>
            </w:r>
            <w:r w:rsidRPr="006C08C3">
              <w:rPr>
                <w:rFonts w:ascii="Arial" w:hAnsi="Arial" w:cs="Arial"/>
              </w:rPr>
              <w:t xml:space="preserve">financial affairs and that the CFO has responsibility for the administration of those affairs (Section 151 of the Local Government Act 1972); </w:t>
            </w:r>
            <w:r w:rsidR="00AA2C12">
              <w:rPr>
                <w:rFonts w:ascii="Arial" w:hAnsi="Arial" w:cs="Arial"/>
              </w:rPr>
              <w:t>and</w:t>
            </w:r>
          </w:p>
          <w:p w14:paraId="061469D8" w14:textId="78433F1F" w:rsidR="00D542AA" w:rsidRPr="0089020A" w:rsidRDefault="00CE0303" w:rsidP="00D542AA">
            <w:pPr>
              <w:pStyle w:val="ListParagraph"/>
              <w:numPr>
                <w:ilvl w:val="0"/>
                <w:numId w:val="3"/>
              </w:numPr>
              <w:autoSpaceDE w:val="0"/>
              <w:autoSpaceDN w:val="0"/>
              <w:jc w:val="both"/>
              <w:rPr>
                <w:rFonts w:ascii="Arial" w:hAnsi="Arial" w:cs="Arial"/>
              </w:rPr>
            </w:pPr>
            <w:r>
              <w:rPr>
                <w:rFonts w:ascii="Arial" w:hAnsi="Arial" w:cs="Arial"/>
              </w:rPr>
              <w:t>The requirements of the Prudential Code and the Treasury Management in Public Services Code of Practice</w:t>
            </w:r>
            <w:r w:rsidR="00BF30AA">
              <w:rPr>
                <w:rFonts w:ascii="Arial" w:hAnsi="Arial" w:cs="Arial"/>
              </w:rPr>
              <w:t>; and</w:t>
            </w:r>
            <w:r w:rsidR="00D542AA">
              <w:rPr>
                <w:rFonts w:ascii="Arial" w:hAnsi="Arial" w:cs="Arial"/>
              </w:rPr>
              <w:t xml:space="preserve"> t</w:t>
            </w:r>
            <w:r w:rsidR="001C7ED8" w:rsidRPr="00D542AA">
              <w:rPr>
                <w:rFonts w:ascii="Arial" w:hAnsi="Arial" w:cs="Arial"/>
              </w:rPr>
              <w:t>he Chartered Institute of Public Finance Accountants’ (CIPFA</w:t>
            </w:r>
            <w:r w:rsidR="009C5F60" w:rsidRPr="00D542AA">
              <w:rPr>
                <w:rFonts w:ascii="Arial" w:hAnsi="Arial" w:cs="Arial"/>
              </w:rPr>
              <w:t>’s</w:t>
            </w:r>
            <w:r w:rsidR="001C7ED8" w:rsidRPr="00D542AA">
              <w:rPr>
                <w:rFonts w:ascii="Arial" w:hAnsi="Arial" w:cs="Arial"/>
              </w:rPr>
              <w:t>)</w:t>
            </w:r>
            <w:r w:rsidR="00BF30AA" w:rsidRPr="00D542AA">
              <w:rPr>
                <w:rFonts w:ascii="Arial" w:hAnsi="Arial" w:cs="Arial"/>
              </w:rPr>
              <w:t xml:space="preserve"> Financial Management Code (FM Code), published in October 2019 </w:t>
            </w:r>
            <w:r w:rsidR="00D542AA" w:rsidRPr="00D542AA">
              <w:rPr>
                <w:rFonts w:ascii="Arial" w:hAnsi="Arial" w:cs="Arial"/>
              </w:rPr>
              <w:t>has been updated and compliance is presented through the Annual Governance Statement</w:t>
            </w:r>
            <w:r w:rsidR="00D542AA">
              <w:rPr>
                <w:rFonts w:ascii="Arial" w:hAnsi="Arial" w:cs="Arial"/>
              </w:rPr>
              <w:t>.</w:t>
            </w:r>
            <w:r w:rsidR="00BF30AA" w:rsidRPr="00D542AA">
              <w:rPr>
                <w:rFonts w:ascii="Arial" w:hAnsi="Arial" w:cs="Arial"/>
                <w:color w:val="000000"/>
                <w:lang w:eastAsia="en-US"/>
              </w:rPr>
              <w:t xml:space="preserve"> </w:t>
            </w:r>
          </w:p>
          <w:p w14:paraId="713FB7BF" w14:textId="0FA7E657" w:rsidR="00CE0303" w:rsidRPr="00EC5441" w:rsidRDefault="00CE0303" w:rsidP="00AA2C12">
            <w:pPr>
              <w:autoSpaceDE w:val="0"/>
              <w:autoSpaceDN w:val="0"/>
              <w:spacing w:after="0"/>
              <w:jc w:val="both"/>
              <w:rPr>
                <w:rFonts w:ascii="Arial" w:hAnsi="Arial" w:cs="Arial"/>
              </w:rPr>
            </w:pPr>
          </w:p>
          <w:p w14:paraId="34790190" w14:textId="06B19C15" w:rsidR="00CE0303" w:rsidRDefault="00CE0303" w:rsidP="001C1909">
            <w:pPr>
              <w:pStyle w:val="ListParagraph"/>
              <w:autoSpaceDE w:val="0"/>
              <w:autoSpaceDN w:val="0"/>
              <w:ind w:left="0"/>
              <w:jc w:val="both"/>
              <w:rPr>
                <w:rFonts w:ascii="Arial" w:hAnsi="Arial" w:cs="Arial"/>
              </w:rPr>
            </w:pPr>
            <w:r>
              <w:rPr>
                <w:rFonts w:ascii="Arial" w:hAnsi="Arial" w:cs="Arial"/>
              </w:rPr>
              <w:t xml:space="preserve">The above requirements are reinforced by Section 114 of the Local Government Finance Act 1988, as amended by Schedule 16 Part 3 of the Police Reform and Social Responsibility Act 2011, which requires the CFO in </w:t>
            </w:r>
            <w:r w:rsidR="004338B8">
              <w:rPr>
                <w:rFonts w:ascii="Arial" w:hAnsi="Arial" w:cs="Arial"/>
              </w:rPr>
              <w:t>England and</w:t>
            </w:r>
            <w:r>
              <w:rPr>
                <w:rFonts w:ascii="Arial" w:hAnsi="Arial" w:cs="Arial"/>
              </w:rPr>
              <w:t xml:space="preserve"> Wales to report to the Commissioner, PCP and External Auditor if there is or likely to be unlawful expenditure or an unbalanced budget.  This would include situations where reserves have become seriously depleted and it is forecast that the Commissioner will not have the resources to meet</w:t>
            </w:r>
            <w:r w:rsidR="00D542AA">
              <w:rPr>
                <w:rFonts w:ascii="Arial" w:hAnsi="Arial" w:cs="Arial"/>
              </w:rPr>
              <w:t xml:space="preserve"> the</w:t>
            </w:r>
            <w:r>
              <w:rPr>
                <w:rFonts w:ascii="Arial" w:hAnsi="Arial" w:cs="Arial"/>
              </w:rPr>
              <w:t xml:space="preserve"> expenditure in a particular financial year.</w:t>
            </w:r>
          </w:p>
          <w:p w14:paraId="213DCFCD" w14:textId="77777777" w:rsidR="00CE0303" w:rsidRDefault="00CE0303" w:rsidP="001C1909">
            <w:pPr>
              <w:pStyle w:val="ListParagraph"/>
              <w:autoSpaceDE w:val="0"/>
              <w:autoSpaceDN w:val="0"/>
              <w:ind w:left="0"/>
              <w:jc w:val="both"/>
              <w:rPr>
                <w:rFonts w:ascii="Arial" w:hAnsi="Arial" w:cs="Arial"/>
              </w:rPr>
            </w:pPr>
          </w:p>
          <w:p w14:paraId="5B59A0D2" w14:textId="298CAF69" w:rsidR="00CE0303" w:rsidRDefault="00CE0303" w:rsidP="001C1909">
            <w:pPr>
              <w:pStyle w:val="ListParagraph"/>
              <w:autoSpaceDE w:val="0"/>
              <w:autoSpaceDN w:val="0"/>
              <w:ind w:left="0"/>
              <w:jc w:val="both"/>
              <w:rPr>
                <w:rFonts w:ascii="Arial" w:hAnsi="Arial" w:cs="Arial"/>
              </w:rPr>
            </w:pPr>
            <w:r>
              <w:rPr>
                <w:rFonts w:ascii="Arial" w:hAnsi="Arial" w:cs="Arial"/>
              </w:rPr>
              <w:t xml:space="preserve">As confirmed above, within the existing statutory and regulatory framework, it is the responsibility of the CFO to advise the Commissioner about the level of reserves </w:t>
            </w:r>
            <w:r w:rsidR="00030E6C">
              <w:rPr>
                <w:rFonts w:ascii="Arial" w:hAnsi="Arial" w:cs="Arial"/>
              </w:rPr>
              <w:t xml:space="preserve">and committed funds </w:t>
            </w:r>
            <w:r>
              <w:rPr>
                <w:rFonts w:ascii="Arial" w:hAnsi="Arial" w:cs="Arial"/>
              </w:rPr>
              <w:t xml:space="preserve">that </w:t>
            </w:r>
            <w:r w:rsidR="00C95750">
              <w:rPr>
                <w:rFonts w:ascii="Arial" w:hAnsi="Arial" w:cs="Arial"/>
              </w:rPr>
              <w:t>t</w:t>
            </w:r>
            <w:r>
              <w:rPr>
                <w:rFonts w:ascii="Arial" w:hAnsi="Arial" w:cs="Arial"/>
              </w:rPr>
              <w:t>he</w:t>
            </w:r>
            <w:r w:rsidR="00C95750">
              <w:rPr>
                <w:rFonts w:ascii="Arial" w:hAnsi="Arial" w:cs="Arial"/>
              </w:rPr>
              <w:t>y</w:t>
            </w:r>
            <w:r>
              <w:rPr>
                <w:rFonts w:ascii="Arial" w:hAnsi="Arial" w:cs="Arial"/>
              </w:rPr>
              <w:t xml:space="preserve"> should hold and to ensure that there are </w:t>
            </w:r>
            <w:r>
              <w:rPr>
                <w:rStyle w:val="FootnoteReference"/>
                <w:rFonts w:ascii="Arial" w:hAnsi="Arial" w:cs="Arial"/>
              </w:rPr>
              <w:footnoteReference w:id="1"/>
            </w:r>
            <w:r>
              <w:rPr>
                <w:rFonts w:ascii="Arial" w:hAnsi="Arial" w:cs="Arial"/>
              </w:rPr>
              <w:t xml:space="preserve">clear protocols for their establishment and use.  Reserves </w:t>
            </w:r>
            <w:r w:rsidR="00030E6C">
              <w:rPr>
                <w:rFonts w:ascii="Arial" w:hAnsi="Arial" w:cs="Arial"/>
              </w:rPr>
              <w:t xml:space="preserve">and committed funds </w:t>
            </w:r>
            <w:r>
              <w:rPr>
                <w:rFonts w:ascii="Arial" w:hAnsi="Arial" w:cs="Arial"/>
              </w:rPr>
              <w:t xml:space="preserve">should not be held without a clear purpose.  By way of example, the Prudential Code requires CFOs to have full regard to affordability when making recommendations about the Commissioner’s future </w:t>
            </w:r>
            <w:r w:rsidR="00F46B42">
              <w:rPr>
                <w:rFonts w:ascii="Arial" w:hAnsi="Arial" w:cs="Arial"/>
              </w:rPr>
              <w:t>C</w:t>
            </w:r>
            <w:r>
              <w:rPr>
                <w:rFonts w:ascii="Arial" w:hAnsi="Arial" w:cs="Arial"/>
              </w:rPr>
              <w:t xml:space="preserve">apital </w:t>
            </w:r>
            <w:r w:rsidR="00F46B42">
              <w:rPr>
                <w:rFonts w:ascii="Arial" w:hAnsi="Arial" w:cs="Arial"/>
              </w:rPr>
              <w:t>P</w:t>
            </w:r>
            <w:r>
              <w:rPr>
                <w:rFonts w:ascii="Arial" w:hAnsi="Arial" w:cs="Arial"/>
              </w:rPr>
              <w:t xml:space="preserve">rogramme.  Such consideration includes assessing all the resources available to/estimated for the Commissioner, such as </w:t>
            </w:r>
            <w:r w:rsidR="00D542AA">
              <w:rPr>
                <w:rFonts w:ascii="Arial" w:hAnsi="Arial" w:cs="Arial"/>
              </w:rPr>
              <w:t xml:space="preserve">the </w:t>
            </w:r>
            <w:r>
              <w:rPr>
                <w:rFonts w:ascii="Arial" w:hAnsi="Arial" w:cs="Arial"/>
              </w:rPr>
              <w:t>level of long-term revenue commitments and also the level of reserves</w:t>
            </w:r>
            <w:r w:rsidR="00030E6C">
              <w:rPr>
                <w:rFonts w:ascii="Arial" w:hAnsi="Arial" w:cs="Arial"/>
              </w:rPr>
              <w:t xml:space="preserve"> and committed funds</w:t>
            </w:r>
            <w:r>
              <w:rPr>
                <w:rFonts w:ascii="Arial" w:hAnsi="Arial" w:cs="Arial"/>
              </w:rPr>
              <w:t xml:space="preserve">. </w:t>
            </w:r>
          </w:p>
          <w:p w14:paraId="187B7EB8" w14:textId="77777777" w:rsidR="00CE0303" w:rsidRDefault="00CE0303" w:rsidP="001C1909">
            <w:pPr>
              <w:pStyle w:val="ListParagraph"/>
              <w:autoSpaceDE w:val="0"/>
              <w:autoSpaceDN w:val="0"/>
              <w:ind w:left="0"/>
              <w:jc w:val="both"/>
              <w:rPr>
                <w:rFonts w:ascii="Arial" w:hAnsi="Arial" w:cs="Arial"/>
              </w:rPr>
            </w:pPr>
          </w:p>
          <w:p w14:paraId="54B917EF" w14:textId="2ADF90D8" w:rsidR="00CE0303" w:rsidRDefault="00CE0303" w:rsidP="001C1909">
            <w:pPr>
              <w:pStyle w:val="ListParagraph"/>
              <w:autoSpaceDE w:val="0"/>
              <w:autoSpaceDN w:val="0"/>
              <w:ind w:left="0"/>
              <w:jc w:val="both"/>
              <w:rPr>
                <w:rFonts w:ascii="Arial" w:hAnsi="Arial" w:cs="Arial"/>
              </w:rPr>
            </w:pPr>
            <w:r>
              <w:rPr>
                <w:rFonts w:ascii="Arial" w:hAnsi="Arial" w:cs="Arial"/>
              </w:rPr>
              <w:t xml:space="preserve">It is evident therefore (and supported by the </w:t>
            </w:r>
            <w:r w:rsidR="001C7ED8">
              <w:rPr>
                <w:rFonts w:ascii="Arial" w:hAnsi="Arial" w:cs="Arial"/>
              </w:rPr>
              <w:t>C</w:t>
            </w:r>
            <w:r>
              <w:rPr>
                <w:rFonts w:ascii="Arial" w:hAnsi="Arial" w:cs="Arial"/>
              </w:rPr>
              <w:t>IPFA and the Local Authority Accounting Panel) that Commissioners should make their own judgements (on the advice of their CFO) on the level of reserves</w:t>
            </w:r>
            <w:r w:rsidR="00383F8E">
              <w:rPr>
                <w:rFonts w:ascii="Arial" w:hAnsi="Arial" w:cs="Arial"/>
              </w:rPr>
              <w:t xml:space="preserve"> and committed funds</w:t>
            </w:r>
            <w:r>
              <w:rPr>
                <w:rFonts w:ascii="Arial" w:hAnsi="Arial" w:cs="Arial"/>
              </w:rPr>
              <w:t xml:space="preserve">; after taking into account all the relevant local circumstances.  It is recognised that such circumstances vary.  For example, a Commissioner operating in a well-managed environment, with a prudent approach to budgeting, should be able to operate with a level of General Reserve appropriate to the risks (both internal and external) to which it is exposed.  In this scenario, in assessing the </w:t>
            </w:r>
            <w:r>
              <w:rPr>
                <w:rFonts w:ascii="Arial" w:hAnsi="Arial" w:cs="Arial"/>
              </w:rPr>
              <w:lastRenderedPageBreak/>
              <w:t>appropriate level of reserves</w:t>
            </w:r>
            <w:r w:rsidR="00383F8E">
              <w:rPr>
                <w:rFonts w:ascii="Arial" w:hAnsi="Arial" w:cs="Arial"/>
              </w:rPr>
              <w:t xml:space="preserve"> and committed funds</w:t>
            </w:r>
            <w:r>
              <w:rPr>
                <w:rFonts w:ascii="Arial" w:hAnsi="Arial" w:cs="Arial"/>
              </w:rPr>
              <w:t xml:space="preserve">, the Commissioner will ensure that the reserves </w:t>
            </w:r>
            <w:r w:rsidR="00383F8E">
              <w:rPr>
                <w:rFonts w:ascii="Arial" w:hAnsi="Arial" w:cs="Arial"/>
              </w:rPr>
              <w:t xml:space="preserve">and committed funds </w:t>
            </w:r>
            <w:r>
              <w:rPr>
                <w:rFonts w:ascii="Arial" w:hAnsi="Arial" w:cs="Arial"/>
              </w:rPr>
              <w:t>are not only adequate but are also necessary.  There is a broad range therefore, within which Commissioners might reasonably operate depending on their particular circumstances.</w:t>
            </w:r>
          </w:p>
          <w:p w14:paraId="5BD8036A" w14:textId="77777777" w:rsidR="00CE0303" w:rsidRDefault="00CE0303" w:rsidP="001C1909">
            <w:pPr>
              <w:pStyle w:val="ListParagraph"/>
              <w:autoSpaceDE w:val="0"/>
              <w:autoSpaceDN w:val="0"/>
              <w:ind w:left="0"/>
              <w:jc w:val="both"/>
              <w:rPr>
                <w:rFonts w:ascii="Arial" w:hAnsi="Arial" w:cs="Arial"/>
              </w:rPr>
            </w:pPr>
          </w:p>
          <w:p w14:paraId="0907E050" w14:textId="13ADC14D" w:rsidR="00CE0303" w:rsidRDefault="00CE0303" w:rsidP="001C1909">
            <w:pPr>
              <w:pStyle w:val="ListParagraph"/>
              <w:autoSpaceDE w:val="0"/>
              <w:autoSpaceDN w:val="0"/>
              <w:ind w:left="0"/>
              <w:jc w:val="both"/>
              <w:rPr>
                <w:rFonts w:ascii="Arial" w:hAnsi="Arial" w:cs="Arial"/>
              </w:rPr>
            </w:pPr>
            <w:r>
              <w:rPr>
                <w:rFonts w:ascii="Arial" w:hAnsi="Arial" w:cs="Arial"/>
              </w:rPr>
              <w:t xml:space="preserve">As a final point by way of background, whilst it is primarily the responsibility of the Commissioner and </w:t>
            </w:r>
            <w:r w:rsidR="00956F91">
              <w:rPr>
                <w:rFonts w:ascii="Arial" w:hAnsi="Arial" w:cs="Arial"/>
              </w:rPr>
              <w:t>their</w:t>
            </w:r>
            <w:r>
              <w:rPr>
                <w:rFonts w:ascii="Arial" w:hAnsi="Arial" w:cs="Arial"/>
              </w:rPr>
              <w:t xml:space="preserve"> CFO to maintain a sound financial position, external auditors will confirm that there are no material uncertainties about going concern.  Even</w:t>
            </w:r>
            <w:r w:rsidR="0069535A">
              <w:rPr>
                <w:rFonts w:ascii="Arial" w:hAnsi="Arial" w:cs="Arial"/>
              </w:rPr>
              <w:t>,</w:t>
            </w:r>
            <w:r>
              <w:rPr>
                <w:rFonts w:ascii="Arial" w:hAnsi="Arial" w:cs="Arial"/>
              </w:rPr>
              <w:t xml:space="preserve"> where as part of their wider role</w:t>
            </w:r>
            <w:r w:rsidR="0069535A">
              <w:rPr>
                <w:rFonts w:ascii="Arial" w:hAnsi="Arial" w:cs="Arial"/>
              </w:rPr>
              <w:t>,</w:t>
            </w:r>
            <w:r>
              <w:rPr>
                <w:rFonts w:ascii="Arial" w:hAnsi="Arial" w:cs="Arial"/>
              </w:rPr>
              <w:t xml:space="preserve"> auditors have to report on the Commissioner’s financial position, it is not their responsibility to prescribe the optimum or minimum level of reserves for individual Commissioners or Commissioners in general.  Section 26 of the Local Government Act 2003 however, gives Ministers in England and Wales a general power to set a minimum level of reserves for Commissioners.  Nonetheless, the Government has undertaken to apply this only to individual Commissioners in the circumstances where they do not act prudently; di</w:t>
            </w:r>
            <w:r w:rsidRPr="00D20D82">
              <w:rPr>
                <w:rFonts w:ascii="Arial" w:hAnsi="Arial" w:cs="Arial"/>
              </w:rPr>
              <w:t>sr</w:t>
            </w:r>
            <w:r>
              <w:rPr>
                <w:rFonts w:ascii="Arial" w:hAnsi="Arial" w:cs="Arial"/>
              </w:rPr>
              <w:t xml:space="preserve">egard the advice of their CFO; and are heading for serious financial difficulty.  This accords with CIPFA’s view that a generally applicable minimum level is inappropriate, as a minimum level of reserve will only be imposed where a Commissioner is not following best financial practice. </w:t>
            </w:r>
          </w:p>
          <w:p w14:paraId="0E3518A2" w14:textId="77777777" w:rsidR="00CE0303" w:rsidRDefault="00CE0303" w:rsidP="001C1909">
            <w:pPr>
              <w:pStyle w:val="ListParagraph"/>
              <w:autoSpaceDE w:val="0"/>
              <w:autoSpaceDN w:val="0"/>
              <w:ind w:left="0"/>
              <w:jc w:val="both"/>
              <w:rPr>
                <w:rFonts w:ascii="Arial" w:hAnsi="Arial" w:cs="Arial"/>
              </w:rPr>
            </w:pPr>
          </w:p>
        </w:tc>
      </w:tr>
      <w:tr w:rsidR="00F5207B" w14:paraId="4A64B552" w14:textId="77777777" w:rsidTr="009E02A1">
        <w:tc>
          <w:tcPr>
            <w:tcW w:w="684" w:type="dxa"/>
            <w:tcBorders>
              <w:bottom w:val="nil"/>
            </w:tcBorders>
          </w:tcPr>
          <w:p w14:paraId="395F176B" w14:textId="77777777" w:rsidR="00F5207B" w:rsidRDefault="00FC6E66" w:rsidP="00B53FCB">
            <w:pPr>
              <w:pStyle w:val="ListParagraph"/>
              <w:ind w:left="0"/>
              <w:rPr>
                <w:rFonts w:ascii="Arial" w:hAnsi="Arial" w:cs="Arial"/>
                <w:b/>
              </w:rPr>
            </w:pPr>
            <w:r>
              <w:rPr>
                <w:rFonts w:ascii="Arial" w:hAnsi="Arial" w:cs="Arial"/>
                <w:b/>
              </w:rPr>
              <w:lastRenderedPageBreak/>
              <w:t>4</w:t>
            </w:r>
            <w:r w:rsidR="00F5207B">
              <w:rPr>
                <w:rFonts w:ascii="Arial" w:hAnsi="Arial" w:cs="Arial"/>
                <w:b/>
              </w:rPr>
              <w:t>.</w:t>
            </w:r>
          </w:p>
          <w:p w14:paraId="10123433" w14:textId="77777777" w:rsidR="00F5207B" w:rsidRDefault="00FC6E66" w:rsidP="007079E9">
            <w:pPr>
              <w:pStyle w:val="ListParagraph"/>
              <w:ind w:left="0"/>
              <w:rPr>
                <w:rFonts w:ascii="Arial" w:hAnsi="Arial" w:cs="Arial"/>
              </w:rPr>
            </w:pPr>
            <w:r>
              <w:rPr>
                <w:rFonts w:ascii="Arial" w:hAnsi="Arial" w:cs="Arial"/>
              </w:rPr>
              <w:t>4</w:t>
            </w:r>
            <w:r w:rsidR="00F5207B">
              <w:rPr>
                <w:rFonts w:ascii="Arial" w:hAnsi="Arial" w:cs="Arial"/>
              </w:rPr>
              <w:t>.1</w:t>
            </w:r>
          </w:p>
          <w:p w14:paraId="25693137" w14:textId="77777777" w:rsidR="002C77A0" w:rsidRDefault="002C77A0" w:rsidP="007079E9">
            <w:pPr>
              <w:pStyle w:val="ListParagraph"/>
              <w:ind w:left="0"/>
              <w:rPr>
                <w:rFonts w:ascii="Arial" w:hAnsi="Arial" w:cs="Arial"/>
              </w:rPr>
            </w:pPr>
          </w:p>
          <w:p w14:paraId="4F91D6A8" w14:textId="77777777" w:rsidR="002C77A0" w:rsidRDefault="002C77A0" w:rsidP="007079E9">
            <w:pPr>
              <w:pStyle w:val="ListParagraph"/>
              <w:ind w:left="0"/>
              <w:rPr>
                <w:rFonts w:ascii="Arial" w:hAnsi="Arial" w:cs="Arial"/>
              </w:rPr>
            </w:pPr>
          </w:p>
          <w:p w14:paraId="008984F8" w14:textId="77777777" w:rsidR="002C77A0" w:rsidRDefault="002C77A0" w:rsidP="007079E9">
            <w:pPr>
              <w:pStyle w:val="ListParagraph"/>
              <w:ind w:left="0"/>
              <w:rPr>
                <w:rFonts w:ascii="Arial" w:hAnsi="Arial" w:cs="Arial"/>
              </w:rPr>
            </w:pPr>
          </w:p>
          <w:p w14:paraId="36BEBFAA" w14:textId="77777777" w:rsidR="002C77A0" w:rsidRDefault="002C77A0" w:rsidP="007079E9">
            <w:pPr>
              <w:pStyle w:val="ListParagraph"/>
              <w:ind w:left="0"/>
              <w:rPr>
                <w:rFonts w:ascii="Arial" w:hAnsi="Arial" w:cs="Arial"/>
              </w:rPr>
            </w:pPr>
          </w:p>
          <w:p w14:paraId="4ECB9E9F" w14:textId="77777777" w:rsidR="002C77A0" w:rsidRDefault="002C77A0" w:rsidP="007079E9">
            <w:pPr>
              <w:pStyle w:val="ListParagraph"/>
              <w:ind w:left="0"/>
              <w:rPr>
                <w:rFonts w:ascii="Arial" w:hAnsi="Arial" w:cs="Arial"/>
              </w:rPr>
            </w:pPr>
          </w:p>
          <w:p w14:paraId="74911219" w14:textId="77777777" w:rsidR="002C77A0" w:rsidRDefault="002C77A0" w:rsidP="007079E9">
            <w:pPr>
              <w:pStyle w:val="ListParagraph"/>
              <w:ind w:left="0"/>
              <w:rPr>
                <w:rFonts w:ascii="Arial" w:hAnsi="Arial" w:cs="Arial"/>
              </w:rPr>
            </w:pPr>
          </w:p>
          <w:p w14:paraId="7C704F33" w14:textId="77777777" w:rsidR="002C77A0" w:rsidRDefault="002C77A0" w:rsidP="007079E9">
            <w:pPr>
              <w:pStyle w:val="ListParagraph"/>
              <w:ind w:left="0"/>
              <w:rPr>
                <w:rFonts w:ascii="Arial" w:hAnsi="Arial" w:cs="Arial"/>
              </w:rPr>
            </w:pPr>
          </w:p>
          <w:p w14:paraId="7B9B5D1F" w14:textId="18529EB1" w:rsidR="00A96CFE" w:rsidRDefault="00A96CFE" w:rsidP="007079E9">
            <w:pPr>
              <w:pStyle w:val="ListParagraph"/>
              <w:ind w:left="0"/>
              <w:rPr>
                <w:rFonts w:ascii="Arial" w:hAnsi="Arial" w:cs="Arial"/>
              </w:rPr>
            </w:pPr>
          </w:p>
          <w:p w14:paraId="349EB5A8" w14:textId="47ABC134" w:rsidR="00FC6C63" w:rsidRDefault="00FC6C63" w:rsidP="007079E9">
            <w:pPr>
              <w:pStyle w:val="ListParagraph"/>
              <w:ind w:left="0"/>
              <w:rPr>
                <w:rFonts w:ascii="Arial" w:hAnsi="Arial" w:cs="Arial"/>
              </w:rPr>
            </w:pPr>
          </w:p>
          <w:p w14:paraId="231FB332" w14:textId="122A4DB3" w:rsidR="00FC6C63" w:rsidRDefault="00FC6C63" w:rsidP="007079E9">
            <w:pPr>
              <w:pStyle w:val="ListParagraph"/>
              <w:ind w:left="0"/>
              <w:rPr>
                <w:rFonts w:ascii="Arial" w:hAnsi="Arial" w:cs="Arial"/>
              </w:rPr>
            </w:pPr>
          </w:p>
          <w:p w14:paraId="7BF378E8" w14:textId="467254EA" w:rsidR="00FC6C63" w:rsidRDefault="00FC6C63" w:rsidP="007079E9">
            <w:pPr>
              <w:pStyle w:val="ListParagraph"/>
              <w:ind w:left="0"/>
              <w:rPr>
                <w:rFonts w:ascii="Arial" w:hAnsi="Arial" w:cs="Arial"/>
              </w:rPr>
            </w:pPr>
          </w:p>
          <w:p w14:paraId="2B307FEF" w14:textId="7EA8AF04" w:rsidR="00FC6C63" w:rsidRDefault="00FC6C63" w:rsidP="007079E9">
            <w:pPr>
              <w:pStyle w:val="ListParagraph"/>
              <w:ind w:left="0"/>
              <w:rPr>
                <w:rFonts w:ascii="Arial" w:hAnsi="Arial" w:cs="Arial"/>
              </w:rPr>
            </w:pPr>
          </w:p>
          <w:p w14:paraId="284F1953" w14:textId="7D8B5C24" w:rsidR="00FC6C63" w:rsidRDefault="00FC6C63" w:rsidP="007079E9">
            <w:pPr>
              <w:pStyle w:val="ListParagraph"/>
              <w:ind w:left="0"/>
              <w:rPr>
                <w:rFonts w:ascii="Arial" w:hAnsi="Arial" w:cs="Arial"/>
              </w:rPr>
            </w:pPr>
          </w:p>
          <w:p w14:paraId="665ACCDC" w14:textId="4471F075" w:rsidR="00FC6C63" w:rsidRDefault="00FC6C63" w:rsidP="007079E9">
            <w:pPr>
              <w:pStyle w:val="ListParagraph"/>
              <w:ind w:left="0"/>
              <w:rPr>
                <w:rFonts w:ascii="Arial" w:hAnsi="Arial" w:cs="Arial"/>
              </w:rPr>
            </w:pPr>
          </w:p>
          <w:p w14:paraId="62229EDB" w14:textId="6535160B" w:rsidR="00FC6C63" w:rsidRDefault="00FC6C63" w:rsidP="007079E9">
            <w:pPr>
              <w:pStyle w:val="ListParagraph"/>
              <w:ind w:left="0"/>
              <w:rPr>
                <w:rFonts w:ascii="Arial" w:hAnsi="Arial" w:cs="Arial"/>
              </w:rPr>
            </w:pPr>
          </w:p>
          <w:p w14:paraId="4A5C2CA2" w14:textId="4D2924C8" w:rsidR="00FC6C63" w:rsidRDefault="00FC6C63" w:rsidP="007079E9">
            <w:pPr>
              <w:pStyle w:val="ListParagraph"/>
              <w:ind w:left="0"/>
              <w:rPr>
                <w:rFonts w:ascii="Arial" w:hAnsi="Arial" w:cs="Arial"/>
              </w:rPr>
            </w:pPr>
          </w:p>
          <w:p w14:paraId="3E74F601" w14:textId="4AFD0684" w:rsidR="00FC6C63" w:rsidRDefault="00FC6C63" w:rsidP="007079E9">
            <w:pPr>
              <w:pStyle w:val="ListParagraph"/>
              <w:ind w:left="0"/>
              <w:rPr>
                <w:rFonts w:ascii="Arial" w:hAnsi="Arial" w:cs="Arial"/>
              </w:rPr>
            </w:pPr>
          </w:p>
          <w:p w14:paraId="67EFE3CC" w14:textId="77777777" w:rsidR="00034898" w:rsidRDefault="00034898" w:rsidP="007079E9">
            <w:pPr>
              <w:pStyle w:val="ListParagraph"/>
              <w:ind w:left="0"/>
              <w:rPr>
                <w:rFonts w:ascii="Arial" w:hAnsi="Arial" w:cs="Arial"/>
              </w:rPr>
            </w:pPr>
          </w:p>
          <w:p w14:paraId="1250695F" w14:textId="77777777" w:rsidR="00A96CFE" w:rsidRDefault="00A96CFE" w:rsidP="007079E9">
            <w:pPr>
              <w:pStyle w:val="ListParagraph"/>
              <w:ind w:left="0"/>
              <w:rPr>
                <w:rFonts w:ascii="Arial" w:hAnsi="Arial" w:cs="Arial"/>
              </w:rPr>
            </w:pPr>
          </w:p>
          <w:p w14:paraId="31E725C6" w14:textId="77777777" w:rsidR="00F5207B" w:rsidRDefault="00FC6E66" w:rsidP="007079E9">
            <w:pPr>
              <w:pStyle w:val="ListParagraph"/>
              <w:ind w:left="0"/>
              <w:rPr>
                <w:rFonts w:ascii="Arial" w:hAnsi="Arial" w:cs="Arial"/>
              </w:rPr>
            </w:pPr>
            <w:r>
              <w:rPr>
                <w:rFonts w:ascii="Arial" w:hAnsi="Arial" w:cs="Arial"/>
              </w:rPr>
              <w:t>4</w:t>
            </w:r>
            <w:r w:rsidR="00F5207B">
              <w:rPr>
                <w:rFonts w:ascii="Arial" w:hAnsi="Arial" w:cs="Arial"/>
              </w:rPr>
              <w:t>.2</w:t>
            </w:r>
          </w:p>
          <w:p w14:paraId="0BA0E29E" w14:textId="77777777" w:rsidR="00F5207B" w:rsidRDefault="00F5207B" w:rsidP="007079E9">
            <w:pPr>
              <w:pStyle w:val="ListParagraph"/>
              <w:ind w:left="0"/>
              <w:rPr>
                <w:rFonts w:ascii="Arial" w:hAnsi="Arial" w:cs="Arial"/>
              </w:rPr>
            </w:pPr>
          </w:p>
          <w:p w14:paraId="36227807" w14:textId="77777777" w:rsidR="00F5207B" w:rsidRDefault="00F5207B" w:rsidP="007079E9">
            <w:pPr>
              <w:spacing w:after="0" w:line="240" w:lineRule="auto"/>
              <w:rPr>
                <w:rFonts w:ascii="Arial" w:hAnsi="Arial" w:cs="Arial"/>
                <w:sz w:val="24"/>
                <w:szCs w:val="24"/>
              </w:rPr>
            </w:pPr>
          </w:p>
          <w:p w14:paraId="636379F6" w14:textId="77777777" w:rsidR="00915CC1" w:rsidRDefault="00915CC1" w:rsidP="007079E9">
            <w:pPr>
              <w:spacing w:after="0" w:line="240" w:lineRule="auto"/>
              <w:rPr>
                <w:rFonts w:ascii="Arial" w:hAnsi="Arial" w:cs="Arial"/>
                <w:sz w:val="24"/>
                <w:szCs w:val="24"/>
              </w:rPr>
            </w:pPr>
          </w:p>
          <w:p w14:paraId="7A4AAEE7" w14:textId="77777777" w:rsidR="00915CC1" w:rsidRDefault="00915CC1" w:rsidP="007079E9">
            <w:pPr>
              <w:spacing w:after="0" w:line="240" w:lineRule="auto"/>
              <w:rPr>
                <w:rFonts w:ascii="Arial" w:hAnsi="Arial" w:cs="Arial"/>
                <w:sz w:val="24"/>
                <w:szCs w:val="24"/>
              </w:rPr>
            </w:pPr>
          </w:p>
          <w:p w14:paraId="1E24BA46" w14:textId="77777777" w:rsidR="00915CC1" w:rsidRDefault="00915CC1" w:rsidP="007079E9">
            <w:pPr>
              <w:spacing w:after="0" w:line="240" w:lineRule="auto"/>
              <w:rPr>
                <w:rFonts w:ascii="Arial" w:hAnsi="Arial" w:cs="Arial"/>
                <w:sz w:val="24"/>
                <w:szCs w:val="24"/>
              </w:rPr>
            </w:pPr>
          </w:p>
          <w:p w14:paraId="020AC7B4" w14:textId="77777777" w:rsidR="00915CC1" w:rsidRDefault="00915CC1" w:rsidP="007079E9">
            <w:pPr>
              <w:spacing w:after="0" w:line="240" w:lineRule="auto"/>
              <w:rPr>
                <w:rFonts w:ascii="Arial" w:hAnsi="Arial" w:cs="Arial"/>
                <w:sz w:val="24"/>
                <w:szCs w:val="24"/>
              </w:rPr>
            </w:pPr>
          </w:p>
          <w:p w14:paraId="729C07AC" w14:textId="77777777" w:rsidR="002C77A0" w:rsidRDefault="002C77A0" w:rsidP="007079E9">
            <w:pPr>
              <w:spacing w:after="0" w:line="240" w:lineRule="auto"/>
              <w:rPr>
                <w:rFonts w:ascii="Arial" w:hAnsi="Arial" w:cs="Arial"/>
                <w:sz w:val="24"/>
                <w:szCs w:val="24"/>
              </w:rPr>
            </w:pPr>
          </w:p>
          <w:p w14:paraId="66DF5608" w14:textId="77777777" w:rsidR="002C77A0" w:rsidRDefault="002C77A0" w:rsidP="007079E9">
            <w:pPr>
              <w:spacing w:after="0" w:line="240" w:lineRule="auto"/>
              <w:rPr>
                <w:rFonts w:ascii="Arial" w:hAnsi="Arial" w:cs="Arial"/>
                <w:sz w:val="24"/>
                <w:szCs w:val="24"/>
              </w:rPr>
            </w:pPr>
          </w:p>
          <w:p w14:paraId="20F46E1D" w14:textId="77777777" w:rsidR="002C77A0" w:rsidRDefault="002C77A0" w:rsidP="007079E9">
            <w:pPr>
              <w:spacing w:after="0" w:line="240" w:lineRule="auto"/>
              <w:rPr>
                <w:rFonts w:ascii="Arial" w:hAnsi="Arial" w:cs="Arial"/>
                <w:sz w:val="24"/>
                <w:szCs w:val="24"/>
              </w:rPr>
            </w:pPr>
          </w:p>
          <w:p w14:paraId="5C311604" w14:textId="77777777" w:rsidR="002C77A0" w:rsidRDefault="002C77A0" w:rsidP="007079E9">
            <w:pPr>
              <w:spacing w:after="0" w:line="240" w:lineRule="auto"/>
              <w:rPr>
                <w:rFonts w:ascii="Arial" w:hAnsi="Arial" w:cs="Arial"/>
                <w:sz w:val="24"/>
                <w:szCs w:val="24"/>
              </w:rPr>
            </w:pPr>
          </w:p>
          <w:p w14:paraId="62267C3B" w14:textId="77777777" w:rsidR="002C77A0" w:rsidRDefault="002C77A0" w:rsidP="007079E9">
            <w:pPr>
              <w:spacing w:after="0" w:line="240" w:lineRule="auto"/>
              <w:rPr>
                <w:rFonts w:ascii="Arial" w:hAnsi="Arial" w:cs="Arial"/>
                <w:sz w:val="24"/>
                <w:szCs w:val="24"/>
              </w:rPr>
            </w:pPr>
          </w:p>
          <w:p w14:paraId="7978C908" w14:textId="77777777" w:rsidR="002C77A0" w:rsidRDefault="002C77A0" w:rsidP="007079E9">
            <w:pPr>
              <w:spacing w:after="0" w:line="240" w:lineRule="auto"/>
              <w:rPr>
                <w:rFonts w:ascii="Arial" w:hAnsi="Arial" w:cs="Arial"/>
                <w:sz w:val="24"/>
                <w:szCs w:val="24"/>
              </w:rPr>
            </w:pPr>
          </w:p>
          <w:p w14:paraId="29C543CD" w14:textId="77777777" w:rsidR="002C77A0" w:rsidRDefault="002C77A0" w:rsidP="007079E9">
            <w:pPr>
              <w:spacing w:after="0" w:line="240" w:lineRule="auto"/>
              <w:rPr>
                <w:rFonts w:ascii="Arial" w:hAnsi="Arial" w:cs="Arial"/>
                <w:sz w:val="24"/>
                <w:szCs w:val="24"/>
              </w:rPr>
            </w:pPr>
          </w:p>
          <w:p w14:paraId="0FC6C7BF" w14:textId="77777777" w:rsidR="002C77A0" w:rsidRDefault="002C77A0" w:rsidP="007079E9">
            <w:pPr>
              <w:spacing w:after="0" w:line="240" w:lineRule="auto"/>
              <w:rPr>
                <w:rFonts w:ascii="Arial" w:hAnsi="Arial" w:cs="Arial"/>
                <w:sz w:val="24"/>
                <w:szCs w:val="24"/>
              </w:rPr>
            </w:pPr>
          </w:p>
          <w:p w14:paraId="57E9ADAC" w14:textId="77777777" w:rsidR="002C77A0" w:rsidRDefault="002C77A0" w:rsidP="007079E9">
            <w:pPr>
              <w:spacing w:after="0" w:line="240" w:lineRule="auto"/>
              <w:rPr>
                <w:rFonts w:ascii="Arial" w:hAnsi="Arial" w:cs="Arial"/>
                <w:sz w:val="24"/>
                <w:szCs w:val="24"/>
              </w:rPr>
            </w:pPr>
          </w:p>
          <w:p w14:paraId="3AB87DAB" w14:textId="77777777" w:rsidR="002C77A0" w:rsidRDefault="002C77A0" w:rsidP="007079E9">
            <w:pPr>
              <w:spacing w:after="0" w:line="240" w:lineRule="auto"/>
              <w:rPr>
                <w:rFonts w:ascii="Arial" w:hAnsi="Arial" w:cs="Arial"/>
                <w:sz w:val="24"/>
                <w:szCs w:val="24"/>
              </w:rPr>
            </w:pPr>
          </w:p>
          <w:p w14:paraId="52B9EF53" w14:textId="77777777" w:rsidR="002C77A0" w:rsidRDefault="002C77A0" w:rsidP="007079E9">
            <w:pPr>
              <w:spacing w:after="0" w:line="240" w:lineRule="auto"/>
              <w:rPr>
                <w:rFonts w:ascii="Arial" w:hAnsi="Arial" w:cs="Arial"/>
                <w:sz w:val="24"/>
                <w:szCs w:val="24"/>
              </w:rPr>
            </w:pPr>
          </w:p>
          <w:p w14:paraId="421F13B3" w14:textId="77777777" w:rsidR="002C77A0" w:rsidRDefault="002C77A0" w:rsidP="007079E9">
            <w:pPr>
              <w:spacing w:after="0" w:line="240" w:lineRule="auto"/>
              <w:rPr>
                <w:rFonts w:ascii="Arial" w:hAnsi="Arial" w:cs="Arial"/>
                <w:sz w:val="24"/>
                <w:szCs w:val="24"/>
              </w:rPr>
            </w:pPr>
          </w:p>
          <w:p w14:paraId="3D439DFB" w14:textId="77777777" w:rsidR="002C77A0" w:rsidRDefault="002C77A0" w:rsidP="007079E9">
            <w:pPr>
              <w:spacing w:after="0" w:line="240" w:lineRule="auto"/>
              <w:rPr>
                <w:rFonts w:ascii="Arial" w:hAnsi="Arial" w:cs="Arial"/>
                <w:sz w:val="24"/>
                <w:szCs w:val="24"/>
              </w:rPr>
            </w:pPr>
          </w:p>
          <w:p w14:paraId="66108BDC" w14:textId="77777777" w:rsidR="002C77A0" w:rsidRDefault="002C77A0" w:rsidP="007079E9">
            <w:pPr>
              <w:spacing w:after="0" w:line="240" w:lineRule="auto"/>
              <w:rPr>
                <w:rFonts w:ascii="Arial" w:hAnsi="Arial" w:cs="Arial"/>
                <w:sz w:val="24"/>
                <w:szCs w:val="24"/>
              </w:rPr>
            </w:pPr>
          </w:p>
          <w:p w14:paraId="23D2636C" w14:textId="77777777" w:rsidR="002C77A0" w:rsidRDefault="002C77A0" w:rsidP="007079E9">
            <w:pPr>
              <w:spacing w:after="0" w:line="240" w:lineRule="auto"/>
              <w:rPr>
                <w:rFonts w:ascii="Arial" w:hAnsi="Arial" w:cs="Arial"/>
                <w:sz w:val="24"/>
                <w:szCs w:val="24"/>
              </w:rPr>
            </w:pPr>
          </w:p>
          <w:p w14:paraId="593CDA4F" w14:textId="77777777" w:rsidR="002C77A0" w:rsidRDefault="002C77A0" w:rsidP="007079E9">
            <w:pPr>
              <w:spacing w:after="0" w:line="240" w:lineRule="auto"/>
              <w:rPr>
                <w:rFonts w:ascii="Arial" w:hAnsi="Arial" w:cs="Arial"/>
                <w:sz w:val="24"/>
                <w:szCs w:val="24"/>
              </w:rPr>
            </w:pPr>
          </w:p>
          <w:p w14:paraId="0E8FEBC2" w14:textId="77777777" w:rsidR="002C77A0" w:rsidRDefault="002C77A0" w:rsidP="007079E9">
            <w:pPr>
              <w:spacing w:after="0" w:line="240" w:lineRule="auto"/>
              <w:rPr>
                <w:rFonts w:ascii="Arial" w:hAnsi="Arial" w:cs="Arial"/>
                <w:sz w:val="24"/>
                <w:szCs w:val="24"/>
              </w:rPr>
            </w:pPr>
          </w:p>
          <w:p w14:paraId="425429E6" w14:textId="77777777" w:rsidR="002C77A0" w:rsidRDefault="002C77A0" w:rsidP="007079E9">
            <w:pPr>
              <w:spacing w:after="0" w:line="240" w:lineRule="auto"/>
              <w:rPr>
                <w:rFonts w:ascii="Arial" w:hAnsi="Arial" w:cs="Arial"/>
                <w:sz w:val="24"/>
                <w:szCs w:val="24"/>
              </w:rPr>
            </w:pPr>
          </w:p>
          <w:p w14:paraId="31D82DC7" w14:textId="77777777" w:rsidR="002C77A0" w:rsidRDefault="002C77A0" w:rsidP="007079E9">
            <w:pPr>
              <w:spacing w:after="0" w:line="240" w:lineRule="auto"/>
              <w:rPr>
                <w:rFonts w:ascii="Arial" w:hAnsi="Arial" w:cs="Arial"/>
                <w:sz w:val="24"/>
                <w:szCs w:val="24"/>
              </w:rPr>
            </w:pPr>
          </w:p>
          <w:p w14:paraId="4D61013C" w14:textId="77777777" w:rsidR="002C77A0" w:rsidRDefault="002C77A0" w:rsidP="007079E9">
            <w:pPr>
              <w:spacing w:after="0" w:line="240" w:lineRule="auto"/>
              <w:rPr>
                <w:rFonts w:ascii="Arial" w:hAnsi="Arial" w:cs="Arial"/>
                <w:sz w:val="24"/>
                <w:szCs w:val="24"/>
              </w:rPr>
            </w:pPr>
          </w:p>
          <w:p w14:paraId="1D7941C0" w14:textId="77777777" w:rsidR="002C77A0" w:rsidRDefault="002C77A0" w:rsidP="007079E9">
            <w:pPr>
              <w:spacing w:after="0" w:line="240" w:lineRule="auto"/>
              <w:rPr>
                <w:rFonts w:ascii="Arial" w:hAnsi="Arial" w:cs="Arial"/>
                <w:sz w:val="24"/>
                <w:szCs w:val="24"/>
              </w:rPr>
            </w:pPr>
          </w:p>
          <w:p w14:paraId="4FDC2C41" w14:textId="77777777" w:rsidR="002C77A0" w:rsidRDefault="002C77A0" w:rsidP="007079E9">
            <w:pPr>
              <w:spacing w:after="0" w:line="240" w:lineRule="auto"/>
              <w:rPr>
                <w:rFonts w:ascii="Arial" w:hAnsi="Arial" w:cs="Arial"/>
                <w:sz w:val="24"/>
                <w:szCs w:val="24"/>
              </w:rPr>
            </w:pPr>
          </w:p>
          <w:p w14:paraId="4C9A9AB8" w14:textId="77777777" w:rsidR="000274F0" w:rsidRDefault="000274F0" w:rsidP="007079E9">
            <w:pPr>
              <w:spacing w:after="0" w:line="240" w:lineRule="auto"/>
              <w:rPr>
                <w:rFonts w:ascii="Arial" w:hAnsi="Arial" w:cs="Arial"/>
                <w:sz w:val="24"/>
                <w:szCs w:val="24"/>
              </w:rPr>
            </w:pPr>
          </w:p>
          <w:p w14:paraId="622E6E44" w14:textId="77777777" w:rsidR="000274F0" w:rsidRDefault="000274F0" w:rsidP="00C0611E">
            <w:pPr>
              <w:spacing w:after="0" w:line="240" w:lineRule="auto"/>
              <w:rPr>
                <w:rFonts w:ascii="Arial" w:hAnsi="Arial" w:cs="Arial"/>
                <w:sz w:val="24"/>
                <w:szCs w:val="24"/>
              </w:rPr>
            </w:pPr>
          </w:p>
          <w:p w14:paraId="2A491659" w14:textId="77777777" w:rsidR="008F3859" w:rsidRDefault="008F3859" w:rsidP="007079E9">
            <w:pPr>
              <w:spacing w:after="0" w:line="240" w:lineRule="auto"/>
              <w:rPr>
                <w:rFonts w:ascii="Arial" w:hAnsi="Arial" w:cs="Arial"/>
                <w:sz w:val="24"/>
                <w:szCs w:val="24"/>
              </w:rPr>
            </w:pPr>
          </w:p>
          <w:p w14:paraId="50EB2089" w14:textId="77777777" w:rsidR="002C77A0" w:rsidRDefault="002C77A0" w:rsidP="007079E9">
            <w:pPr>
              <w:spacing w:after="0" w:line="240" w:lineRule="auto"/>
              <w:rPr>
                <w:rFonts w:ascii="Arial" w:hAnsi="Arial" w:cs="Arial"/>
                <w:sz w:val="24"/>
                <w:szCs w:val="24"/>
              </w:rPr>
            </w:pPr>
          </w:p>
          <w:p w14:paraId="674BF731" w14:textId="77777777" w:rsidR="002C77A0" w:rsidRDefault="002C77A0" w:rsidP="007079E9">
            <w:pPr>
              <w:spacing w:after="0" w:line="240" w:lineRule="auto"/>
              <w:rPr>
                <w:rFonts w:ascii="Arial" w:hAnsi="Arial" w:cs="Arial"/>
                <w:sz w:val="24"/>
                <w:szCs w:val="24"/>
              </w:rPr>
            </w:pPr>
          </w:p>
          <w:p w14:paraId="68570151" w14:textId="77777777" w:rsidR="002C77A0" w:rsidRDefault="002C77A0" w:rsidP="007079E9">
            <w:pPr>
              <w:spacing w:after="0" w:line="240" w:lineRule="auto"/>
              <w:rPr>
                <w:rFonts w:ascii="Arial" w:hAnsi="Arial" w:cs="Arial"/>
                <w:sz w:val="24"/>
                <w:szCs w:val="24"/>
              </w:rPr>
            </w:pPr>
          </w:p>
          <w:p w14:paraId="6CDA7D8E" w14:textId="77777777" w:rsidR="002C77A0" w:rsidRDefault="002C77A0" w:rsidP="007079E9">
            <w:pPr>
              <w:spacing w:after="0" w:line="240" w:lineRule="auto"/>
              <w:rPr>
                <w:rFonts w:ascii="Arial" w:hAnsi="Arial" w:cs="Arial"/>
                <w:sz w:val="24"/>
                <w:szCs w:val="24"/>
              </w:rPr>
            </w:pPr>
          </w:p>
          <w:p w14:paraId="150F9777" w14:textId="77777777" w:rsidR="002C77A0" w:rsidRDefault="002C77A0" w:rsidP="007079E9">
            <w:pPr>
              <w:spacing w:after="0" w:line="240" w:lineRule="auto"/>
              <w:rPr>
                <w:rFonts w:ascii="Arial" w:hAnsi="Arial" w:cs="Arial"/>
                <w:sz w:val="24"/>
                <w:szCs w:val="24"/>
              </w:rPr>
            </w:pPr>
          </w:p>
          <w:p w14:paraId="123272D8" w14:textId="77777777" w:rsidR="002C77A0" w:rsidRDefault="002C77A0" w:rsidP="007079E9">
            <w:pPr>
              <w:spacing w:after="0" w:line="240" w:lineRule="auto"/>
              <w:rPr>
                <w:rFonts w:ascii="Arial" w:hAnsi="Arial" w:cs="Arial"/>
                <w:sz w:val="24"/>
                <w:szCs w:val="24"/>
              </w:rPr>
            </w:pPr>
          </w:p>
          <w:p w14:paraId="346C8E4E" w14:textId="77777777" w:rsidR="002C77A0" w:rsidRDefault="002C77A0" w:rsidP="007079E9">
            <w:pPr>
              <w:spacing w:after="0" w:line="240" w:lineRule="auto"/>
              <w:rPr>
                <w:rFonts w:ascii="Arial" w:hAnsi="Arial" w:cs="Arial"/>
                <w:sz w:val="24"/>
                <w:szCs w:val="24"/>
              </w:rPr>
            </w:pPr>
          </w:p>
          <w:p w14:paraId="439C04E7" w14:textId="77777777" w:rsidR="002C77A0" w:rsidRDefault="002C77A0" w:rsidP="007079E9">
            <w:pPr>
              <w:spacing w:after="0" w:line="240" w:lineRule="auto"/>
              <w:rPr>
                <w:rFonts w:ascii="Arial" w:hAnsi="Arial" w:cs="Arial"/>
                <w:sz w:val="24"/>
                <w:szCs w:val="24"/>
              </w:rPr>
            </w:pPr>
          </w:p>
          <w:p w14:paraId="5374DF18" w14:textId="77777777" w:rsidR="002C77A0" w:rsidRDefault="002C77A0" w:rsidP="007079E9">
            <w:pPr>
              <w:spacing w:after="0" w:line="240" w:lineRule="auto"/>
              <w:rPr>
                <w:rFonts w:ascii="Arial" w:hAnsi="Arial" w:cs="Arial"/>
                <w:sz w:val="24"/>
                <w:szCs w:val="24"/>
              </w:rPr>
            </w:pPr>
          </w:p>
          <w:p w14:paraId="459F7901" w14:textId="77777777" w:rsidR="002C77A0" w:rsidRDefault="002C77A0" w:rsidP="007079E9">
            <w:pPr>
              <w:spacing w:after="0" w:line="240" w:lineRule="auto"/>
              <w:rPr>
                <w:rFonts w:ascii="Arial" w:hAnsi="Arial" w:cs="Arial"/>
                <w:sz w:val="24"/>
                <w:szCs w:val="24"/>
              </w:rPr>
            </w:pPr>
          </w:p>
          <w:p w14:paraId="11F1FAAD" w14:textId="77777777" w:rsidR="002C77A0" w:rsidRDefault="002C77A0" w:rsidP="007079E9">
            <w:pPr>
              <w:spacing w:after="0" w:line="240" w:lineRule="auto"/>
              <w:rPr>
                <w:rFonts w:ascii="Arial" w:hAnsi="Arial" w:cs="Arial"/>
                <w:sz w:val="24"/>
                <w:szCs w:val="24"/>
              </w:rPr>
            </w:pPr>
          </w:p>
          <w:p w14:paraId="0B2A7420" w14:textId="77777777" w:rsidR="002C77A0" w:rsidRDefault="002C77A0" w:rsidP="007079E9">
            <w:pPr>
              <w:spacing w:after="0" w:line="240" w:lineRule="auto"/>
              <w:rPr>
                <w:rFonts w:ascii="Arial" w:hAnsi="Arial" w:cs="Arial"/>
                <w:sz w:val="24"/>
                <w:szCs w:val="24"/>
              </w:rPr>
            </w:pPr>
          </w:p>
          <w:p w14:paraId="76B5A8B8" w14:textId="77777777" w:rsidR="002C77A0" w:rsidRDefault="002C77A0" w:rsidP="007079E9">
            <w:pPr>
              <w:spacing w:after="0" w:line="240" w:lineRule="auto"/>
              <w:rPr>
                <w:rFonts w:ascii="Arial" w:hAnsi="Arial" w:cs="Arial"/>
                <w:sz w:val="24"/>
                <w:szCs w:val="24"/>
              </w:rPr>
            </w:pPr>
          </w:p>
          <w:p w14:paraId="3216846B" w14:textId="77777777" w:rsidR="002C77A0" w:rsidRDefault="002C77A0" w:rsidP="007079E9">
            <w:pPr>
              <w:spacing w:after="0" w:line="240" w:lineRule="auto"/>
              <w:rPr>
                <w:rFonts w:ascii="Arial" w:hAnsi="Arial" w:cs="Arial"/>
                <w:sz w:val="24"/>
                <w:szCs w:val="24"/>
              </w:rPr>
            </w:pPr>
          </w:p>
          <w:p w14:paraId="24E2D42A" w14:textId="77777777" w:rsidR="002C77A0" w:rsidRDefault="002C77A0" w:rsidP="007079E9">
            <w:pPr>
              <w:spacing w:after="0" w:line="240" w:lineRule="auto"/>
              <w:rPr>
                <w:rFonts w:ascii="Arial" w:hAnsi="Arial" w:cs="Arial"/>
                <w:sz w:val="24"/>
                <w:szCs w:val="24"/>
              </w:rPr>
            </w:pPr>
          </w:p>
          <w:p w14:paraId="2CF21A30" w14:textId="77777777" w:rsidR="002C77A0" w:rsidRDefault="002C77A0" w:rsidP="007079E9">
            <w:pPr>
              <w:spacing w:after="0" w:line="240" w:lineRule="auto"/>
              <w:rPr>
                <w:rFonts w:ascii="Arial" w:hAnsi="Arial" w:cs="Arial"/>
                <w:sz w:val="24"/>
                <w:szCs w:val="24"/>
              </w:rPr>
            </w:pPr>
          </w:p>
          <w:p w14:paraId="5EE36F7D" w14:textId="77777777" w:rsidR="002C77A0" w:rsidRDefault="002C77A0" w:rsidP="007079E9">
            <w:pPr>
              <w:spacing w:after="0" w:line="240" w:lineRule="auto"/>
              <w:rPr>
                <w:rFonts w:ascii="Arial" w:hAnsi="Arial" w:cs="Arial"/>
                <w:sz w:val="24"/>
                <w:szCs w:val="24"/>
              </w:rPr>
            </w:pPr>
          </w:p>
          <w:p w14:paraId="5638F642" w14:textId="77777777" w:rsidR="002C77A0" w:rsidRDefault="002C77A0" w:rsidP="007079E9">
            <w:pPr>
              <w:spacing w:after="0" w:line="240" w:lineRule="auto"/>
              <w:rPr>
                <w:rFonts w:ascii="Arial" w:hAnsi="Arial" w:cs="Arial"/>
                <w:sz w:val="24"/>
                <w:szCs w:val="24"/>
              </w:rPr>
            </w:pPr>
          </w:p>
          <w:p w14:paraId="624C38BC" w14:textId="77777777" w:rsidR="002C77A0" w:rsidRDefault="002C77A0" w:rsidP="007079E9">
            <w:pPr>
              <w:spacing w:after="0" w:line="240" w:lineRule="auto"/>
              <w:rPr>
                <w:rFonts w:ascii="Arial" w:hAnsi="Arial" w:cs="Arial"/>
                <w:sz w:val="24"/>
                <w:szCs w:val="24"/>
              </w:rPr>
            </w:pPr>
          </w:p>
          <w:p w14:paraId="212980AE" w14:textId="42E5CC08" w:rsidR="002C77A0" w:rsidRDefault="002C77A0" w:rsidP="007079E9">
            <w:pPr>
              <w:spacing w:after="0" w:line="240" w:lineRule="auto"/>
              <w:rPr>
                <w:rFonts w:ascii="Arial" w:hAnsi="Arial" w:cs="Arial"/>
                <w:sz w:val="24"/>
                <w:szCs w:val="24"/>
              </w:rPr>
            </w:pPr>
          </w:p>
          <w:p w14:paraId="503A5AC4" w14:textId="77777777" w:rsidR="002C77A0" w:rsidRDefault="002C77A0" w:rsidP="007079E9">
            <w:pPr>
              <w:spacing w:after="0" w:line="240" w:lineRule="auto"/>
              <w:rPr>
                <w:rFonts w:ascii="Arial" w:hAnsi="Arial" w:cs="Arial"/>
                <w:sz w:val="24"/>
                <w:szCs w:val="24"/>
              </w:rPr>
            </w:pPr>
          </w:p>
          <w:p w14:paraId="657E1361" w14:textId="64516B46" w:rsidR="005E439C" w:rsidRDefault="005E439C" w:rsidP="007079E9">
            <w:pPr>
              <w:spacing w:after="0" w:line="240" w:lineRule="auto"/>
              <w:rPr>
                <w:rFonts w:ascii="Arial" w:hAnsi="Arial" w:cs="Arial"/>
                <w:sz w:val="24"/>
                <w:szCs w:val="24"/>
              </w:rPr>
            </w:pPr>
          </w:p>
          <w:p w14:paraId="228D4974" w14:textId="77777777" w:rsidR="000264FA" w:rsidRDefault="000264FA" w:rsidP="00B53FCB">
            <w:pPr>
              <w:spacing w:after="0" w:line="240" w:lineRule="auto"/>
              <w:rPr>
                <w:rFonts w:ascii="Arial" w:hAnsi="Arial" w:cs="Arial"/>
                <w:sz w:val="24"/>
                <w:szCs w:val="24"/>
              </w:rPr>
            </w:pPr>
          </w:p>
          <w:p w14:paraId="34C94805" w14:textId="77777777" w:rsidR="00C0611E" w:rsidRDefault="00C0611E" w:rsidP="007079E9">
            <w:pPr>
              <w:spacing w:after="0" w:line="240" w:lineRule="auto"/>
              <w:rPr>
                <w:rFonts w:ascii="Arial" w:hAnsi="Arial" w:cs="Arial"/>
                <w:sz w:val="24"/>
                <w:szCs w:val="24"/>
              </w:rPr>
            </w:pPr>
          </w:p>
          <w:p w14:paraId="36EFE7DC" w14:textId="77777777" w:rsidR="00C0611E" w:rsidRDefault="00C0611E" w:rsidP="007079E9">
            <w:pPr>
              <w:spacing w:after="0" w:line="240" w:lineRule="auto"/>
              <w:rPr>
                <w:rFonts w:ascii="Arial" w:hAnsi="Arial" w:cs="Arial"/>
                <w:sz w:val="24"/>
                <w:szCs w:val="24"/>
              </w:rPr>
            </w:pPr>
          </w:p>
          <w:p w14:paraId="613AD0D2" w14:textId="77777777" w:rsidR="00C0611E" w:rsidRDefault="00C0611E" w:rsidP="007079E9">
            <w:pPr>
              <w:spacing w:after="0" w:line="240" w:lineRule="auto"/>
              <w:rPr>
                <w:rFonts w:ascii="Arial" w:hAnsi="Arial" w:cs="Arial"/>
                <w:sz w:val="24"/>
                <w:szCs w:val="24"/>
              </w:rPr>
            </w:pPr>
          </w:p>
          <w:p w14:paraId="02960C56" w14:textId="77777777" w:rsidR="00C0611E" w:rsidRDefault="00C0611E" w:rsidP="007079E9">
            <w:pPr>
              <w:spacing w:after="0" w:line="240" w:lineRule="auto"/>
              <w:rPr>
                <w:rFonts w:ascii="Arial" w:hAnsi="Arial" w:cs="Arial"/>
                <w:sz w:val="24"/>
                <w:szCs w:val="24"/>
              </w:rPr>
            </w:pPr>
          </w:p>
          <w:p w14:paraId="71ABC385" w14:textId="68CBB114" w:rsidR="00C0611E" w:rsidRDefault="00C0611E" w:rsidP="00B53FCB">
            <w:pPr>
              <w:spacing w:after="0" w:line="240" w:lineRule="auto"/>
              <w:rPr>
                <w:rFonts w:ascii="Arial" w:hAnsi="Arial" w:cs="Arial"/>
                <w:sz w:val="24"/>
                <w:szCs w:val="24"/>
              </w:rPr>
            </w:pPr>
          </w:p>
          <w:p w14:paraId="69553A09" w14:textId="278A799C" w:rsidR="00C0611E" w:rsidRDefault="00C0611E" w:rsidP="00B53FCB">
            <w:pPr>
              <w:spacing w:after="0" w:line="240" w:lineRule="auto"/>
              <w:rPr>
                <w:rFonts w:ascii="Arial" w:hAnsi="Arial" w:cs="Arial"/>
                <w:sz w:val="24"/>
                <w:szCs w:val="24"/>
              </w:rPr>
            </w:pPr>
          </w:p>
          <w:p w14:paraId="06681C09" w14:textId="77777777" w:rsidR="007D748D" w:rsidRDefault="007D748D" w:rsidP="00B53FCB">
            <w:pPr>
              <w:spacing w:after="0" w:line="240" w:lineRule="auto"/>
              <w:rPr>
                <w:rFonts w:ascii="Arial" w:hAnsi="Arial" w:cs="Arial"/>
                <w:sz w:val="24"/>
                <w:szCs w:val="24"/>
              </w:rPr>
            </w:pPr>
          </w:p>
          <w:p w14:paraId="2E40D8B9" w14:textId="77777777" w:rsidR="00B53FCB" w:rsidRDefault="00B53FCB" w:rsidP="00B53FCB">
            <w:pPr>
              <w:spacing w:after="60" w:line="240" w:lineRule="auto"/>
              <w:rPr>
                <w:rFonts w:ascii="Arial" w:hAnsi="Arial" w:cs="Arial"/>
                <w:sz w:val="24"/>
                <w:szCs w:val="24"/>
              </w:rPr>
            </w:pPr>
          </w:p>
          <w:p w14:paraId="30BA4B47" w14:textId="6578AA78" w:rsidR="00241CCA" w:rsidRDefault="00FC6E66" w:rsidP="007079E9">
            <w:pPr>
              <w:spacing w:after="0" w:line="240" w:lineRule="auto"/>
              <w:rPr>
                <w:rFonts w:ascii="Arial" w:hAnsi="Arial" w:cs="Arial"/>
                <w:sz w:val="24"/>
                <w:szCs w:val="24"/>
              </w:rPr>
            </w:pPr>
            <w:r>
              <w:rPr>
                <w:rFonts w:ascii="Arial" w:hAnsi="Arial" w:cs="Arial"/>
                <w:sz w:val="24"/>
                <w:szCs w:val="24"/>
              </w:rPr>
              <w:t>4</w:t>
            </w:r>
            <w:r w:rsidR="00F5207B">
              <w:rPr>
                <w:rFonts w:ascii="Arial" w:hAnsi="Arial" w:cs="Arial"/>
                <w:sz w:val="24"/>
                <w:szCs w:val="24"/>
              </w:rPr>
              <w:t>.3</w:t>
            </w:r>
          </w:p>
          <w:p w14:paraId="75E6B0DE" w14:textId="77777777" w:rsidR="000274F0" w:rsidRDefault="000274F0" w:rsidP="007079E9">
            <w:pPr>
              <w:spacing w:after="0" w:line="240" w:lineRule="auto"/>
              <w:rPr>
                <w:rFonts w:ascii="Arial" w:hAnsi="Arial" w:cs="Arial"/>
                <w:sz w:val="24"/>
                <w:szCs w:val="24"/>
              </w:rPr>
            </w:pPr>
          </w:p>
          <w:p w14:paraId="2E1C18D4" w14:textId="77777777" w:rsidR="002C77A0" w:rsidRDefault="002C77A0" w:rsidP="007079E9">
            <w:pPr>
              <w:spacing w:after="0" w:line="240" w:lineRule="auto"/>
              <w:rPr>
                <w:rFonts w:ascii="Arial" w:hAnsi="Arial" w:cs="Arial"/>
                <w:sz w:val="24"/>
                <w:szCs w:val="24"/>
              </w:rPr>
            </w:pPr>
          </w:p>
          <w:p w14:paraId="06F15150" w14:textId="77777777" w:rsidR="002C77A0" w:rsidRDefault="002C77A0" w:rsidP="007079E9">
            <w:pPr>
              <w:spacing w:after="0" w:line="240" w:lineRule="auto"/>
              <w:rPr>
                <w:rFonts w:ascii="Arial" w:hAnsi="Arial" w:cs="Arial"/>
                <w:sz w:val="24"/>
                <w:szCs w:val="24"/>
              </w:rPr>
            </w:pPr>
          </w:p>
          <w:p w14:paraId="72C92ACC" w14:textId="77777777" w:rsidR="002C77A0" w:rsidRDefault="002C77A0" w:rsidP="007079E9">
            <w:pPr>
              <w:spacing w:after="0" w:line="240" w:lineRule="auto"/>
              <w:rPr>
                <w:rFonts w:ascii="Arial" w:hAnsi="Arial" w:cs="Arial"/>
                <w:sz w:val="24"/>
                <w:szCs w:val="24"/>
              </w:rPr>
            </w:pPr>
          </w:p>
          <w:p w14:paraId="2A7BD1EA" w14:textId="77777777" w:rsidR="002C77A0" w:rsidRDefault="002C77A0" w:rsidP="007079E9">
            <w:pPr>
              <w:spacing w:after="0" w:line="240" w:lineRule="auto"/>
              <w:rPr>
                <w:rFonts w:ascii="Arial" w:hAnsi="Arial" w:cs="Arial"/>
                <w:sz w:val="24"/>
                <w:szCs w:val="24"/>
              </w:rPr>
            </w:pPr>
          </w:p>
          <w:p w14:paraId="6B30D6F2" w14:textId="77777777" w:rsidR="002C77A0" w:rsidRDefault="002C77A0" w:rsidP="007079E9">
            <w:pPr>
              <w:spacing w:after="0" w:line="240" w:lineRule="auto"/>
              <w:rPr>
                <w:rFonts w:ascii="Arial" w:hAnsi="Arial" w:cs="Arial"/>
                <w:sz w:val="24"/>
                <w:szCs w:val="24"/>
              </w:rPr>
            </w:pPr>
          </w:p>
          <w:p w14:paraId="4BB2F30E" w14:textId="05A04915" w:rsidR="002C77A0" w:rsidRDefault="002C77A0" w:rsidP="007079E9">
            <w:pPr>
              <w:spacing w:after="0" w:line="240" w:lineRule="auto"/>
              <w:rPr>
                <w:rFonts w:ascii="Arial" w:hAnsi="Arial" w:cs="Arial"/>
                <w:sz w:val="24"/>
                <w:szCs w:val="24"/>
              </w:rPr>
            </w:pPr>
          </w:p>
          <w:p w14:paraId="71206DFD" w14:textId="04286811" w:rsidR="00C0611E" w:rsidRDefault="00C0611E" w:rsidP="007079E9">
            <w:pPr>
              <w:spacing w:after="0" w:line="240" w:lineRule="auto"/>
              <w:rPr>
                <w:rFonts w:ascii="Arial" w:hAnsi="Arial" w:cs="Arial"/>
                <w:sz w:val="24"/>
                <w:szCs w:val="24"/>
              </w:rPr>
            </w:pPr>
          </w:p>
          <w:p w14:paraId="1D2D100C" w14:textId="64CD54DA" w:rsidR="00C0611E" w:rsidRDefault="00C0611E" w:rsidP="007079E9">
            <w:pPr>
              <w:spacing w:after="0" w:line="240" w:lineRule="auto"/>
              <w:rPr>
                <w:rFonts w:ascii="Arial" w:hAnsi="Arial" w:cs="Arial"/>
                <w:sz w:val="24"/>
                <w:szCs w:val="24"/>
              </w:rPr>
            </w:pPr>
          </w:p>
          <w:p w14:paraId="343D2DC0" w14:textId="77777777" w:rsidR="00C0611E" w:rsidRDefault="00C0611E" w:rsidP="007079E9">
            <w:pPr>
              <w:spacing w:after="0" w:line="240" w:lineRule="auto"/>
              <w:rPr>
                <w:rFonts w:ascii="Arial" w:hAnsi="Arial" w:cs="Arial"/>
                <w:sz w:val="24"/>
                <w:szCs w:val="24"/>
              </w:rPr>
            </w:pPr>
          </w:p>
          <w:p w14:paraId="2B2344B7" w14:textId="77777777" w:rsidR="002C77A0" w:rsidRDefault="002C77A0" w:rsidP="007079E9">
            <w:pPr>
              <w:spacing w:after="0" w:line="240" w:lineRule="auto"/>
              <w:rPr>
                <w:rFonts w:ascii="Arial" w:hAnsi="Arial" w:cs="Arial"/>
                <w:sz w:val="24"/>
                <w:szCs w:val="24"/>
              </w:rPr>
            </w:pPr>
          </w:p>
          <w:p w14:paraId="030FF827" w14:textId="77777777" w:rsidR="005E439C" w:rsidRDefault="005E439C" w:rsidP="007079E9">
            <w:pPr>
              <w:spacing w:after="0" w:line="240" w:lineRule="auto"/>
              <w:rPr>
                <w:rFonts w:ascii="Arial" w:hAnsi="Arial" w:cs="Arial"/>
                <w:sz w:val="24"/>
                <w:szCs w:val="24"/>
              </w:rPr>
            </w:pPr>
          </w:p>
          <w:p w14:paraId="6862A26D" w14:textId="77777777" w:rsidR="00241CCA" w:rsidRDefault="00241CCA" w:rsidP="007079E9">
            <w:pPr>
              <w:spacing w:after="0" w:line="240" w:lineRule="auto"/>
              <w:rPr>
                <w:rFonts w:ascii="Arial" w:hAnsi="Arial" w:cs="Arial"/>
                <w:sz w:val="24"/>
                <w:szCs w:val="24"/>
              </w:rPr>
            </w:pPr>
            <w:r>
              <w:rPr>
                <w:rFonts w:ascii="Arial" w:hAnsi="Arial" w:cs="Arial"/>
                <w:sz w:val="24"/>
                <w:szCs w:val="24"/>
              </w:rPr>
              <w:t>4.4</w:t>
            </w:r>
          </w:p>
          <w:p w14:paraId="2AFE3053" w14:textId="77777777" w:rsidR="00241CCA" w:rsidRDefault="00241CCA" w:rsidP="007079E9">
            <w:pPr>
              <w:spacing w:after="0" w:line="240" w:lineRule="auto"/>
              <w:rPr>
                <w:rFonts w:ascii="Arial" w:hAnsi="Arial" w:cs="Arial"/>
                <w:sz w:val="24"/>
                <w:szCs w:val="24"/>
              </w:rPr>
            </w:pPr>
          </w:p>
          <w:p w14:paraId="7490BC3D" w14:textId="77777777" w:rsidR="00D30D8B" w:rsidRDefault="00D30D8B" w:rsidP="007079E9">
            <w:pPr>
              <w:spacing w:after="0" w:line="240" w:lineRule="auto"/>
              <w:rPr>
                <w:rFonts w:ascii="Arial" w:hAnsi="Arial" w:cs="Arial"/>
                <w:sz w:val="24"/>
                <w:szCs w:val="24"/>
              </w:rPr>
            </w:pPr>
          </w:p>
          <w:p w14:paraId="6F925310" w14:textId="77777777" w:rsidR="00D30D8B" w:rsidRDefault="00D30D8B" w:rsidP="007079E9">
            <w:pPr>
              <w:spacing w:after="0" w:line="240" w:lineRule="auto"/>
              <w:rPr>
                <w:rFonts w:ascii="Arial" w:hAnsi="Arial" w:cs="Arial"/>
                <w:sz w:val="24"/>
                <w:szCs w:val="24"/>
              </w:rPr>
            </w:pPr>
          </w:p>
          <w:p w14:paraId="5B898406" w14:textId="77777777" w:rsidR="00D30D8B" w:rsidRDefault="00D30D8B" w:rsidP="007079E9">
            <w:pPr>
              <w:spacing w:after="0" w:line="240" w:lineRule="auto"/>
              <w:rPr>
                <w:rFonts w:ascii="Arial" w:hAnsi="Arial" w:cs="Arial"/>
                <w:sz w:val="24"/>
                <w:szCs w:val="24"/>
              </w:rPr>
            </w:pPr>
          </w:p>
          <w:p w14:paraId="459AB3B8" w14:textId="77777777" w:rsidR="00D30D8B" w:rsidRDefault="00D30D8B" w:rsidP="007079E9">
            <w:pPr>
              <w:spacing w:after="0" w:line="240" w:lineRule="auto"/>
              <w:rPr>
                <w:rFonts w:ascii="Arial" w:hAnsi="Arial" w:cs="Arial"/>
                <w:sz w:val="24"/>
                <w:szCs w:val="24"/>
              </w:rPr>
            </w:pPr>
          </w:p>
          <w:p w14:paraId="5AED7601" w14:textId="77777777" w:rsidR="00241CCA" w:rsidRDefault="00241CCA" w:rsidP="007079E9">
            <w:pPr>
              <w:spacing w:after="0" w:line="240" w:lineRule="auto"/>
              <w:rPr>
                <w:rFonts w:ascii="Arial" w:hAnsi="Arial" w:cs="Arial"/>
                <w:sz w:val="24"/>
                <w:szCs w:val="24"/>
              </w:rPr>
            </w:pPr>
          </w:p>
          <w:p w14:paraId="62D4EE3C" w14:textId="77777777" w:rsidR="002C77A0" w:rsidRDefault="002C77A0" w:rsidP="007079E9">
            <w:pPr>
              <w:spacing w:after="0" w:line="240" w:lineRule="auto"/>
              <w:rPr>
                <w:rFonts w:ascii="Arial" w:hAnsi="Arial" w:cs="Arial"/>
                <w:sz w:val="24"/>
                <w:szCs w:val="24"/>
              </w:rPr>
            </w:pPr>
          </w:p>
          <w:p w14:paraId="1DC466E4" w14:textId="77777777" w:rsidR="002C77A0" w:rsidRDefault="002C77A0" w:rsidP="007079E9">
            <w:pPr>
              <w:spacing w:after="0" w:line="240" w:lineRule="auto"/>
              <w:rPr>
                <w:rFonts w:ascii="Arial" w:hAnsi="Arial" w:cs="Arial"/>
                <w:sz w:val="24"/>
                <w:szCs w:val="24"/>
              </w:rPr>
            </w:pPr>
          </w:p>
          <w:p w14:paraId="12ABEC4F" w14:textId="77777777" w:rsidR="002C77A0" w:rsidRDefault="002C77A0" w:rsidP="007079E9">
            <w:pPr>
              <w:spacing w:after="0" w:line="240" w:lineRule="auto"/>
              <w:rPr>
                <w:rFonts w:ascii="Arial" w:hAnsi="Arial" w:cs="Arial"/>
                <w:sz w:val="24"/>
                <w:szCs w:val="24"/>
              </w:rPr>
            </w:pPr>
          </w:p>
          <w:p w14:paraId="68953E01" w14:textId="77777777" w:rsidR="002C77A0" w:rsidRDefault="002C77A0" w:rsidP="007079E9">
            <w:pPr>
              <w:spacing w:after="0" w:line="240" w:lineRule="auto"/>
              <w:rPr>
                <w:rFonts w:ascii="Arial" w:hAnsi="Arial" w:cs="Arial"/>
                <w:sz w:val="24"/>
                <w:szCs w:val="24"/>
              </w:rPr>
            </w:pPr>
          </w:p>
          <w:p w14:paraId="4078AC1E" w14:textId="0D9C56D9" w:rsidR="002C77A0" w:rsidRDefault="002C77A0" w:rsidP="007079E9">
            <w:pPr>
              <w:spacing w:after="0" w:line="240" w:lineRule="auto"/>
              <w:rPr>
                <w:rFonts w:ascii="Arial" w:hAnsi="Arial" w:cs="Arial"/>
                <w:sz w:val="24"/>
                <w:szCs w:val="24"/>
              </w:rPr>
            </w:pPr>
          </w:p>
          <w:p w14:paraId="41BC75B5" w14:textId="77777777" w:rsidR="00236675" w:rsidRDefault="00236675" w:rsidP="007079E9">
            <w:pPr>
              <w:spacing w:after="0" w:line="240" w:lineRule="auto"/>
              <w:rPr>
                <w:rFonts w:ascii="Arial" w:hAnsi="Arial" w:cs="Arial"/>
                <w:sz w:val="24"/>
                <w:szCs w:val="24"/>
              </w:rPr>
            </w:pPr>
          </w:p>
          <w:p w14:paraId="706FC91F" w14:textId="77777777" w:rsidR="009E6FE0" w:rsidRDefault="009E6FE0" w:rsidP="007079E9">
            <w:pPr>
              <w:spacing w:after="0" w:line="240" w:lineRule="auto"/>
              <w:rPr>
                <w:rFonts w:ascii="Arial" w:hAnsi="Arial" w:cs="Arial"/>
                <w:sz w:val="24"/>
                <w:szCs w:val="24"/>
              </w:rPr>
            </w:pPr>
          </w:p>
          <w:p w14:paraId="0B839C62" w14:textId="7B3C5B46" w:rsidR="000565C9" w:rsidRDefault="000565C9" w:rsidP="007079E9">
            <w:pPr>
              <w:spacing w:after="0" w:line="240" w:lineRule="auto"/>
              <w:rPr>
                <w:rFonts w:ascii="Arial" w:hAnsi="Arial" w:cs="Arial"/>
                <w:sz w:val="24"/>
                <w:szCs w:val="24"/>
              </w:rPr>
            </w:pPr>
          </w:p>
          <w:p w14:paraId="558689A2" w14:textId="255AF9C6" w:rsidR="00C0611E" w:rsidRDefault="00C0611E" w:rsidP="007079E9">
            <w:pPr>
              <w:spacing w:after="0" w:line="240" w:lineRule="auto"/>
              <w:rPr>
                <w:rFonts w:ascii="Arial" w:hAnsi="Arial" w:cs="Arial"/>
                <w:sz w:val="24"/>
                <w:szCs w:val="24"/>
              </w:rPr>
            </w:pPr>
          </w:p>
          <w:p w14:paraId="1314F99D" w14:textId="2A10F093" w:rsidR="00054A77" w:rsidRDefault="00054A77" w:rsidP="00C0611E">
            <w:pPr>
              <w:spacing w:after="0" w:line="240" w:lineRule="auto"/>
              <w:rPr>
                <w:rFonts w:ascii="Arial" w:hAnsi="Arial" w:cs="Arial"/>
                <w:sz w:val="24"/>
                <w:szCs w:val="24"/>
              </w:rPr>
            </w:pPr>
          </w:p>
          <w:p w14:paraId="66E9F85D" w14:textId="77777777" w:rsidR="00C0611E" w:rsidRDefault="00C0611E" w:rsidP="00B53FCB">
            <w:pPr>
              <w:spacing w:after="60" w:line="240" w:lineRule="auto"/>
              <w:rPr>
                <w:rFonts w:ascii="Arial" w:hAnsi="Arial" w:cs="Arial"/>
                <w:sz w:val="24"/>
                <w:szCs w:val="24"/>
              </w:rPr>
            </w:pPr>
          </w:p>
          <w:p w14:paraId="1B255BBC" w14:textId="6269E221" w:rsidR="00241CCA" w:rsidRDefault="00241CCA" w:rsidP="007079E9">
            <w:pPr>
              <w:spacing w:after="0" w:line="240" w:lineRule="auto"/>
              <w:rPr>
                <w:rFonts w:ascii="Arial" w:hAnsi="Arial" w:cs="Arial"/>
                <w:sz w:val="24"/>
                <w:szCs w:val="24"/>
              </w:rPr>
            </w:pPr>
            <w:r>
              <w:rPr>
                <w:rFonts w:ascii="Arial" w:hAnsi="Arial" w:cs="Arial"/>
                <w:sz w:val="24"/>
                <w:szCs w:val="24"/>
              </w:rPr>
              <w:t>4.5</w:t>
            </w:r>
          </w:p>
          <w:p w14:paraId="033D0BB3" w14:textId="77777777" w:rsidR="00F12B58" w:rsidRDefault="00F12B58" w:rsidP="007079E9">
            <w:pPr>
              <w:spacing w:after="0" w:line="240" w:lineRule="auto"/>
              <w:rPr>
                <w:rFonts w:ascii="Arial" w:hAnsi="Arial" w:cs="Arial"/>
                <w:sz w:val="24"/>
                <w:szCs w:val="24"/>
              </w:rPr>
            </w:pPr>
          </w:p>
          <w:p w14:paraId="57F681AE" w14:textId="77777777" w:rsidR="009E6FE0" w:rsidRDefault="009E6FE0" w:rsidP="007079E9">
            <w:pPr>
              <w:spacing w:after="0" w:line="240" w:lineRule="auto"/>
              <w:rPr>
                <w:rFonts w:ascii="Arial" w:hAnsi="Arial" w:cs="Arial"/>
                <w:sz w:val="24"/>
                <w:szCs w:val="24"/>
              </w:rPr>
            </w:pPr>
          </w:p>
          <w:p w14:paraId="26D9DE23" w14:textId="77777777" w:rsidR="009E6FE0" w:rsidRDefault="009E6FE0" w:rsidP="007079E9">
            <w:pPr>
              <w:spacing w:after="0" w:line="240" w:lineRule="auto"/>
              <w:rPr>
                <w:rFonts w:ascii="Arial" w:hAnsi="Arial" w:cs="Arial"/>
                <w:sz w:val="24"/>
                <w:szCs w:val="24"/>
              </w:rPr>
            </w:pPr>
          </w:p>
          <w:p w14:paraId="0F2B9ABE" w14:textId="77777777" w:rsidR="009E6FE0" w:rsidRDefault="009E6FE0" w:rsidP="007079E9">
            <w:pPr>
              <w:spacing w:after="0" w:line="240" w:lineRule="auto"/>
              <w:rPr>
                <w:rFonts w:ascii="Arial" w:hAnsi="Arial" w:cs="Arial"/>
                <w:sz w:val="24"/>
                <w:szCs w:val="24"/>
              </w:rPr>
            </w:pPr>
          </w:p>
          <w:p w14:paraId="16DC1D14" w14:textId="18BCA055" w:rsidR="009E6FE0" w:rsidRDefault="009E6FE0" w:rsidP="007079E9">
            <w:pPr>
              <w:spacing w:after="0" w:line="240" w:lineRule="auto"/>
              <w:rPr>
                <w:rFonts w:ascii="Arial" w:hAnsi="Arial" w:cs="Arial"/>
                <w:sz w:val="24"/>
                <w:szCs w:val="24"/>
              </w:rPr>
            </w:pPr>
          </w:p>
          <w:p w14:paraId="175F9142" w14:textId="77777777" w:rsidR="00F57E17" w:rsidRDefault="00F57E17" w:rsidP="007079E9">
            <w:pPr>
              <w:spacing w:after="0" w:line="240" w:lineRule="auto"/>
              <w:rPr>
                <w:rFonts w:ascii="Arial" w:hAnsi="Arial" w:cs="Arial"/>
                <w:sz w:val="24"/>
                <w:szCs w:val="24"/>
              </w:rPr>
            </w:pPr>
          </w:p>
          <w:p w14:paraId="155448A2" w14:textId="77777777" w:rsidR="002C77A0" w:rsidRDefault="002C77A0" w:rsidP="007079E9">
            <w:pPr>
              <w:spacing w:after="0" w:line="240" w:lineRule="auto"/>
              <w:rPr>
                <w:rFonts w:ascii="Arial" w:hAnsi="Arial" w:cs="Arial"/>
                <w:sz w:val="24"/>
                <w:szCs w:val="24"/>
              </w:rPr>
            </w:pPr>
          </w:p>
          <w:p w14:paraId="5D732373" w14:textId="08C70056" w:rsidR="002C77A0" w:rsidRDefault="002C77A0" w:rsidP="00B53FCB">
            <w:pPr>
              <w:spacing w:after="0" w:line="240" w:lineRule="auto"/>
              <w:rPr>
                <w:rFonts w:ascii="Arial" w:hAnsi="Arial" w:cs="Arial"/>
                <w:sz w:val="24"/>
                <w:szCs w:val="24"/>
              </w:rPr>
            </w:pPr>
          </w:p>
          <w:p w14:paraId="55648F86" w14:textId="0DE2EEEF" w:rsidR="00B53FCB" w:rsidRDefault="00B53FCB" w:rsidP="00B53FCB">
            <w:pPr>
              <w:spacing w:after="0" w:line="240" w:lineRule="auto"/>
              <w:rPr>
                <w:rFonts w:ascii="Arial" w:hAnsi="Arial" w:cs="Arial"/>
                <w:sz w:val="24"/>
                <w:szCs w:val="24"/>
              </w:rPr>
            </w:pPr>
          </w:p>
          <w:p w14:paraId="55F505D7" w14:textId="77777777" w:rsidR="00B53FCB" w:rsidRDefault="00B53FCB" w:rsidP="00B53FCB">
            <w:pPr>
              <w:spacing w:after="0" w:line="240" w:lineRule="auto"/>
              <w:rPr>
                <w:rFonts w:ascii="Arial" w:hAnsi="Arial" w:cs="Arial"/>
                <w:sz w:val="24"/>
                <w:szCs w:val="24"/>
              </w:rPr>
            </w:pPr>
          </w:p>
          <w:p w14:paraId="6C5EB92F" w14:textId="23C3873D" w:rsidR="00F12B58" w:rsidRDefault="00F12B58" w:rsidP="00B53FCB">
            <w:pPr>
              <w:spacing w:after="0" w:line="240" w:lineRule="auto"/>
              <w:rPr>
                <w:rFonts w:ascii="Arial" w:hAnsi="Arial" w:cs="Arial"/>
                <w:sz w:val="24"/>
                <w:szCs w:val="24"/>
              </w:rPr>
            </w:pPr>
            <w:r>
              <w:rPr>
                <w:rFonts w:ascii="Arial" w:hAnsi="Arial" w:cs="Arial"/>
                <w:sz w:val="24"/>
                <w:szCs w:val="24"/>
              </w:rPr>
              <w:t>4.6</w:t>
            </w:r>
          </w:p>
          <w:p w14:paraId="02734327" w14:textId="33EDD9BB" w:rsidR="00917739" w:rsidRDefault="00917739" w:rsidP="00B53FCB">
            <w:pPr>
              <w:spacing w:after="0" w:line="240" w:lineRule="auto"/>
              <w:rPr>
                <w:rFonts w:ascii="Arial" w:hAnsi="Arial" w:cs="Arial"/>
                <w:sz w:val="24"/>
                <w:szCs w:val="24"/>
              </w:rPr>
            </w:pPr>
          </w:p>
          <w:p w14:paraId="46C69F7E" w14:textId="27DACE54" w:rsidR="00B53FCB" w:rsidRDefault="00B53FCB" w:rsidP="00B53FCB">
            <w:pPr>
              <w:spacing w:after="0" w:line="240" w:lineRule="auto"/>
              <w:rPr>
                <w:rFonts w:ascii="Arial" w:hAnsi="Arial" w:cs="Arial"/>
                <w:sz w:val="24"/>
                <w:szCs w:val="24"/>
              </w:rPr>
            </w:pPr>
          </w:p>
          <w:p w14:paraId="5FF76CDE" w14:textId="77777777" w:rsidR="001D3744" w:rsidRDefault="001D3744" w:rsidP="00B53FCB">
            <w:pPr>
              <w:spacing w:after="0" w:line="240" w:lineRule="auto"/>
              <w:rPr>
                <w:rFonts w:ascii="Arial" w:hAnsi="Arial" w:cs="Arial"/>
                <w:sz w:val="24"/>
                <w:szCs w:val="24"/>
              </w:rPr>
            </w:pPr>
          </w:p>
          <w:p w14:paraId="760FBFE2" w14:textId="5C27EB1B" w:rsidR="00D55228" w:rsidRDefault="00D55228" w:rsidP="007079E9">
            <w:pPr>
              <w:spacing w:after="0" w:line="240" w:lineRule="auto"/>
              <w:rPr>
                <w:rFonts w:ascii="Arial" w:hAnsi="Arial" w:cs="Arial"/>
                <w:sz w:val="24"/>
                <w:szCs w:val="24"/>
              </w:rPr>
            </w:pPr>
            <w:r>
              <w:rPr>
                <w:rFonts w:ascii="Arial" w:hAnsi="Arial" w:cs="Arial"/>
                <w:sz w:val="24"/>
                <w:szCs w:val="24"/>
              </w:rPr>
              <w:lastRenderedPageBreak/>
              <w:t>4.7</w:t>
            </w:r>
          </w:p>
          <w:p w14:paraId="5541383D" w14:textId="77777777" w:rsidR="000762D8" w:rsidRDefault="000762D8" w:rsidP="007079E9">
            <w:pPr>
              <w:spacing w:after="0" w:line="240" w:lineRule="auto"/>
              <w:rPr>
                <w:rFonts w:ascii="Arial" w:hAnsi="Arial" w:cs="Arial"/>
                <w:sz w:val="24"/>
                <w:szCs w:val="24"/>
              </w:rPr>
            </w:pPr>
          </w:p>
          <w:p w14:paraId="42174ECE" w14:textId="77777777" w:rsidR="002C77A0" w:rsidRDefault="002C77A0" w:rsidP="007079E9">
            <w:pPr>
              <w:spacing w:after="0" w:line="240" w:lineRule="auto"/>
              <w:rPr>
                <w:rFonts w:ascii="Arial" w:hAnsi="Arial" w:cs="Arial"/>
                <w:sz w:val="24"/>
                <w:szCs w:val="24"/>
              </w:rPr>
            </w:pPr>
          </w:p>
          <w:p w14:paraId="13371C17" w14:textId="77777777" w:rsidR="002C77A0" w:rsidRDefault="002C77A0" w:rsidP="007079E9">
            <w:pPr>
              <w:spacing w:after="0" w:line="240" w:lineRule="auto"/>
              <w:rPr>
                <w:rFonts w:ascii="Arial" w:hAnsi="Arial" w:cs="Arial"/>
                <w:sz w:val="24"/>
                <w:szCs w:val="24"/>
              </w:rPr>
            </w:pPr>
          </w:p>
          <w:p w14:paraId="0133D624" w14:textId="787866EC" w:rsidR="002C77A0" w:rsidRDefault="002C77A0" w:rsidP="001359D4">
            <w:pPr>
              <w:spacing w:after="0" w:line="240" w:lineRule="auto"/>
              <w:rPr>
                <w:rFonts w:ascii="Arial" w:hAnsi="Arial" w:cs="Arial"/>
                <w:sz w:val="24"/>
                <w:szCs w:val="24"/>
              </w:rPr>
            </w:pPr>
          </w:p>
          <w:p w14:paraId="3CAAC146" w14:textId="4B26BAFC" w:rsidR="003055E7" w:rsidRDefault="003055E7" w:rsidP="007079E9">
            <w:pPr>
              <w:spacing w:after="0" w:line="240" w:lineRule="auto"/>
              <w:rPr>
                <w:rFonts w:ascii="Arial" w:hAnsi="Arial" w:cs="Arial"/>
                <w:sz w:val="24"/>
                <w:szCs w:val="24"/>
              </w:rPr>
            </w:pPr>
          </w:p>
          <w:p w14:paraId="27E03CCD" w14:textId="6089437C" w:rsidR="001359D4" w:rsidRDefault="001359D4" w:rsidP="007079E9">
            <w:pPr>
              <w:spacing w:after="0" w:line="240" w:lineRule="auto"/>
              <w:rPr>
                <w:rFonts w:ascii="Arial" w:hAnsi="Arial" w:cs="Arial"/>
                <w:sz w:val="24"/>
                <w:szCs w:val="24"/>
              </w:rPr>
            </w:pPr>
          </w:p>
          <w:p w14:paraId="0CEEE309" w14:textId="77777777" w:rsidR="001359D4" w:rsidRDefault="001359D4" w:rsidP="007079E9">
            <w:pPr>
              <w:spacing w:after="0" w:line="240" w:lineRule="auto"/>
              <w:rPr>
                <w:rFonts w:ascii="Arial" w:hAnsi="Arial" w:cs="Arial"/>
                <w:sz w:val="24"/>
                <w:szCs w:val="24"/>
              </w:rPr>
            </w:pPr>
          </w:p>
          <w:p w14:paraId="7DC57BFC" w14:textId="77777777" w:rsidR="00A25F08" w:rsidRDefault="00A25F08" w:rsidP="007079E9">
            <w:pPr>
              <w:spacing w:after="0" w:line="240" w:lineRule="auto"/>
              <w:rPr>
                <w:rFonts w:ascii="Arial" w:hAnsi="Arial" w:cs="Arial"/>
                <w:sz w:val="24"/>
                <w:szCs w:val="24"/>
              </w:rPr>
            </w:pPr>
            <w:r>
              <w:rPr>
                <w:rFonts w:ascii="Arial" w:hAnsi="Arial" w:cs="Arial"/>
                <w:sz w:val="24"/>
                <w:szCs w:val="24"/>
              </w:rPr>
              <w:t>4.8</w:t>
            </w:r>
          </w:p>
          <w:p w14:paraId="1C326AE2" w14:textId="77777777" w:rsidR="000762D8" w:rsidRDefault="000762D8" w:rsidP="007079E9">
            <w:pPr>
              <w:spacing w:after="0" w:line="240" w:lineRule="auto"/>
              <w:rPr>
                <w:rFonts w:ascii="Arial" w:hAnsi="Arial" w:cs="Arial"/>
                <w:sz w:val="24"/>
                <w:szCs w:val="24"/>
              </w:rPr>
            </w:pPr>
          </w:p>
          <w:p w14:paraId="553B2F26" w14:textId="77777777" w:rsidR="000762D8" w:rsidRDefault="000762D8" w:rsidP="007079E9">
            <w:pPr>
              <w:spacing w:after="0" w:line="240" w:lineRule="auto"/>
              <w:rPr>
                <w:rFonts w:ascii="Arial" w:hAnsi="Arial" w:cs="Arial"/>
                <w:sz w:val="24"/>
                <w:szCs w:val="24"/>
              </w:rPr>
            </w:pPr>
          </w:p>
          <w:p w14:paraId="5A8CB6D8" w14:textId="77777777" w:rsidR="003A4B75" w:rsidRDefault="003A4B75" w:rsidP="007079E9">
            <w:pPr>
              <w:spacing w:after="0" w:line="240" w:lineRule="auto"/>
              <w:rPr>
                <w:rFonts w:ascii="Arial" w:hAnsi="Arial" w:cs="Arial"/>
                <w:sz w:val="24"/>
                <w:szCs w:val="24"/>
              </w:rPr>
            </w:pPr>
          </w:p>
          <w:p w14:paraId="634F67D7" w14:textId="77777777" w:rsidR="003A4B75" w:rsidRDefault="003A4B75" w:rsidP="001359D4">
            <w:pPr>
              <w:spacing w:after="0" w:line="240" w:lineRule="auto"/>
              <w:rPr>
                <w:rFonts w:ascii="Arial" w:hAnsi="Arial" w:cs="Arial"/>
                <w:sz w:val="24"/>
                <w:szCs w:val="24"/>
              </w:rPr>
            </w:pPr>
          </w:p>
          <w:p w14:paraId="56179167" w14:textId="75FC8767" w:rsidR="00233AB1" w:rsidRDefault="00233AB1" w:rsidP="007079E9">
            <w:pPr>
              <w:spacing w:after="0" w:line="240" w:lineRule="auto"/>
              <w:rPr>
                <w:rFonts w:ascii="Arial" w:hAnsi="Arial" w:cs="Arial"/>
                <w:sz w:val="24"/>
                <w:szCs w:val="24"/>
              </w:rPr>
            </w:pPr>
          </w:p>
          <w:p w14:paraId="73E374C6" w14:textId="77777777" w:rsidR="00236675" w:rsidRDefault="00236675" w:rsidP="007079E9">
            <w:pPr>
              <w:spacing w:after="0" w:line="240" w:lineRule="auto"/>
              <w:rPr>
                <w:rFonts w:ascii="Arial" w:hAnsi="Arial" w:cs="Arial"/>
                <w:sz w:val="24"/>
                <w:szCs w:val="24"/>
              </w:rPr>
            </w:pPr>
          </w:p>
          <w:p w14:paraId="70BEC4FD" w14:textId="5181F6F1" w:rsidR="00233AB1" w:rsidRDefault="00233AB1" w:rsidP="001359D4">
            <w:pPr>
              <w:spacing w:after="0" w:line="240" w:lineRule="auto"/>
              <w:rPr>
                <w:rFonts w:ascii="Arial" w:hAnsi="Arial" w:cs="Arial"/>
                <w:sz w:val="24"/>
                <w:szCs w:val="24"/>
              </w:rPr>
            </w:pPr>
          </w:p>
          <w:p w14:paraId="01EB5D43" w14:textId="77777777" w:rsidR="00EC5441" w:rsidRDefault="00EC5441" w:rsidP="001359D4">
            <w:pPr>
              <w:spacing w:after="0" w:line="240" w:lineRule="auto"/>
              <w:rPr>
                <w:rFonts w:ascii="Arial" w:hAnsi="Arial" w:cs="Arial"/>
                <w:sz w:val="24"/>
                <w:szCs w:val="24"/>
              </w:rPr>
            </w:pPr>
          </w:p>
          <w:p w14:paraId="49297490" w14:textId="566986C3" w:rsidR="001359D4" w:rsidRDefault="001359D4" w:rsidP="001359D4">
            <w:pPr>
              <w:spacing w:after="0" w:line="240" w:lineRule="auto"/>
              <w:rPr>
                <w:rFonts w:ascii="Arial" w:hAnsi="Arial" w:cs="Arial"/>
                <w:sz w:val="24"/>
                <w:szCs w:val="24"/>
              </w:rPr>
            </w:pPr>
          </w:p>
          <w:p w14:paraId="784F881B" w14:textId="0866F482" w:rsidR="000762D8" w:rsidRDefault="000762D8" w:rsidP="007079E9">
            <w:pPr>
              <w:spacing w:after="0" w:line="240" w:lineRule="auto"/>
              <w:rPr>
                <w:rFonts w:ascii="Arial" w:hAnsi="Arial" w:cs="Arial"/>
                <w:sz w:val="24"/>
                <w:szCs w:val="24"/>
              </w:rPr>
            </w:pPr>
            <w:r>
              <w:rPr>
                <w:rFonts w:ascii="Arial" w:hAnsi="Arial" w:cs="Arial"/>
                <w:sz w:val="24"/>
                <w:szCs w:val="24"/>
              </w:rPr>
              <w:t>4.9</w:t>
            </w:r>
          </w:p>
          <w:p w14:paraId="1E256E52" w14:textId="220FB3D8" w:rsidR="002C77A0" w:rsidRDefault="002C77A0" w:rsidP="007079E9">
            <w:pPr>
              <w:spacing w:after="0" w:line="240" w:lineRule="auto"/>
              <w:rPr>
                <w:rFonts w:ascii="Arial" w:hAnsi="Arial" w:cs="Arial"/>
                <w:sz w:val="24"/>
                <w:szCs w:val="24"/>
              </w:rPr>
            </w:pPr>
          </w:p>
          <w:p w14:paraId="4F731DE4" w14:textId="77777777" w:rsidR="00EC5441" w:rsidRDefault="00EC5441" w:rsidP="007079E9">
            <w:pPr>
              <w:spacing w:after="0" w:line="240" w:lineRule="auto"/>
              <w:rPr>
                <w:rFonts w:ascii="Arial" w:hAnsi="Arial" w:cs="Arial"/>
                <w:sz w:val="24"/>
                <w:szCs w:val="24"/>
              </w:rPr>
            </w:pPr>
          </w:p>
          <w:p w14:paraId="212D2E4A" w14:textId="73E9391C" w:rsidR="00233AB1" w:rsidRDefault="00233AB1" w:rsidP="001359D4">
            <w:pPr>
              <w:spacing w:after="0" w:line="240" w:lineRule="auto"/>
              <w:rPr>
                <w:rFonts w:ascii="Arial" w:hAnsi="Arial" w:cs="Arial"/>
                <w:sz w:val="24"/>
                <w:szCs w:val="24"/>
              </w:rPr>
            </w:pPr>
          </w:p>
          <w:p w14:paraId="083B4A6A" w14:textId="77777777" w:rsidR="002C77A0" w:rsidRDefault="002C77A0" w:rsidP="007079E9">
            <w:pPr>
              <w:spacing w:after="0" w:line="240" w:lineRule="auto"/>
              <w:rPr>
                <w:rFonts w:ascii="Arial" w:hAnsi="Arial" w:cs="Arial"/>
                <w:sz w:val="24"/>
                <w:szCs w:val="24"/>
              </w:rPr>
            </w:pPr>
            <w:r>
              <w:rPr>
                <w:rFonts w:ascii="Arial" w:hAnsi="Arial" w:cs="Arial"/>
                <w:sz w:val="24"/>
                <w:szCs w:val="24"/>
              </w:rPr>
              <w:t>4.10</w:t>
            </w:r>
          </w:p>
          <w:p w14:paraId="65A27223" w14:textId="77777777" w:rsidR="002C77A0" w:rsidRDefault="002C77A0" w:rsidP="007079E9">
            <w:pPr>
              <w:spacing w:after="0" w:line="240" w:lineRule="auto"/>
              <w:rPr>
                <w:rFonts w:ascii="Arial" w:hAnsi="Arial" w:cs="Arial"/>
                <w:sz w:val="24"/>
                <w:szCs w:val="24"/>
              </w:rPr>
            </w:pPr>
          </w:p>
          <w:p w14:paraId="24019A4F" w14:textId="77777777" w:rsidR="002C77A0" w:rsidRDefault="002C77A0" w:rsidP="007079E9">
            <w:pPr>
              <w:spacing w:after="0" w:line="240" w:lineRule="auto"/>
              <w:rPr>
                <w:rFonts w:ascii="Arial" w:hAnsi="Arial" w:cs="Arial"/>
                <w:sz w:val="24"/>
                <w:szCs w:val="24"/>
              </w:rPr>
            </w:pPr>
          </w:p>
          <w:p w14:paraId="6C898A42" w14:textId="77777777" w:rsidR="002C77A0" w:rsidRDefault="002C77A0" w:rsidP="007079E9">
            <w:pPr>
              <w:spacing w:after="0" w:line="240" w:lineRule="auto"/>
              <w:rPr>
                <w:rFonts w:ascii="Arial" w:hAnsi="Arial" w:cs="Arial"/>
                <w:sz w:val="24"/>
                <w:szCs w:val="24"/>
              </w:rPr>
            </w:pPr>
          </w:p>
          <w:p w14:paraId="738A03B4" w14:textId="77777777" w:rsidR="002C77A0" w:rsidRDefault="002C77A0" w:rsidP="007079E9">
            <w:pPr>
              <w:spacing w:after="0" w:line="240" w:lineRule="auto"/>
              <w:rPr>
                <w:rFonts w:ascii="Arial" w:hAnsi="Arial" w:cs="Arial"/>
                <w:sz w:val="24"/>
                <w:szCs w:val="24"/>
              </w:rPr>
            </w:pPr>
          </w:p>
          <w:p w14:paraId="10BD08CE" w14:textId="77777777" w:rsidR="002C77A0" w:rsidRDefault="002C77A0" w:rsidP="007079E9">
            <w:pPr>
              <w:spacing w:after="0" w:line="240" w:lineRule="auto"/>
              <w:rPr>
                <w:rFonts w:ascii="Arial" w:hAnsi="Arial" w:cs="Arial"/>
                <w:sz w:val="24"/>
                <w:szCs w:val="24"/>
              </w:rPr>
            </w:pPr>
          </w:p>
          <w:p w14:paraId="3F07766A" w14:textId="77777777" w:rsidR="002C77A0" w:rsidRDefault="002C77A0" w:rsidP="007079E9">
            <w:pPr>
              <w:spacing w:after="0" w:line="240" w:lineRule="auto"/>
              <w:rPr>
                <w:rFonts w:ascii="Arial" w:hAnsi="Arial" w:cs="Arial"/>
                <w:sz w:val="24"/>
                <w:szCs w:val="24"/>
              </w:rPr>
            </w:pPr>
          </w:p>
          <w:p w14:paraId="1C56A776" w14:textId="77777777" w:rsidR="002C77A0" w:rsidRDefault="002C77A0" w:rsidP="007079E9">
            <w:pPr>
              <w:spacing w:after="0" w:line="240" w:lineRule="auto"/>
              <w:rPr>
                <w:rFonts w:ascii="Arial" w:hAnsi="Arial" w:cs="Arial"/>
                <w:sz w:val="24"/>
                <w:szCs w:val="24"/>
              </w:rPr>
            </w:pPr>
          </w:p>
          <w:p w14:paraId="4363235F" w14:textId="77777777" w:rsidR="002C77A0" w:rsidRDefault="002C77A0" w:rsidP="007079E9">
            <w:pPr>
              <w:spacing w:after="0" w:line="240" w:lineRule="auto"/>
              <w:rPr>
                <w:rFonts w:ascii="Arial" w:hAnsi="Arial" w:cs="Arial"/>
                <w:sz w:val="24"/>
                <w:szCs w:val="24"/>
              </w:rPr>
            </w:pPr>
          </w:p>
          <w:p w14:paraId="4D50D49E" w14:textId="77777777" w:rsidR="002C77A0" w:rsidRDefault="002C77A0" w:rsidP="007079E9">
            <w:pPr>
              <w:spacing w:after="0" w:line="240" w:lineRule="auto"/>
              <w:rPr>
                <w:rFonts w:ascii="Arial" w:hAnsi="Arial" w:cs="Arial"/>
                <w:sz w:val="24"/>
                <w:szCs w:val="24"/>
              </w:rPr>
            </w:pPr>
          </w:p>
          <w:p w14:paraId="30F99AD3" w14:textId="77777777" w:rsidR="002C77A0" w:rsidRDefault="002C77A0" w:rsidP="007079E9">
            <w:pPr>
              <w:spacing w:after="0" w:line="240" w:lineRule="auto"/>
              <w:rPr>
                <w:rFonts w:ascii="Arial" w:hAnsi="Arial" w:cs="Arial"/>
                <w:sz w:val="24"/>
                <w:szCs w:val="24"/>
              </w:rPr>
            </w:pPr>
          </w:p>
          <w:p w14:paraId="72B559EE" w14:textId="77777777" w:rsidR="002C77A0" w:rsidRDefault="002C77A0" w:rsidP="007079E9">
            <w:pPr>
              <w:spacing w:after="0" w:line="240" w:lineRule="auto"/>
              <w:rPr>
                <w:rFonts w:ascii="Arial" w:hAnsi="Arial" w:cs="Arial"/>
                <w:sz w:val="24"/>
                <w:szCs w:val="24"/>
              </w:rPr>
            </w:pPr>
          </w:p>
          <w:p w14:paraId="3247F207" w14:textId="77777777" w:rsidR="002C77A0" w:rsidRDefault="002C77A0" w:rsidP="007079E9">
            <w:pPr>
              <w:spacing w:after="0" w:line="240" w:lineRule="auto"/>
              <w:rPr>
                <w:rFonts w:ascii="Arial" w:hAnsi="Arial" w:cs="Arial"/>
                <w:sz w:val="24"/>
                <w:szCs w:val="24"/>
              </w:rPr>
            </w:pPr>
          </w:p>
          <w:p w14:paraId="0D1CC60C" w14:textId="77777777" w:rsidR="00F352ED" w:rsidRDefault="00F352ED" w:rsidP="007079E9">
            <w:pPr>
              <w:spacing w:after="0" w:line="240" w:lineRule="auto"/>
              <w:rPr>
                <w:rFonts w:ascii="Arial" w:hAnsi="Arial" w:cs="Arial"/>
                <w:sz w:val="24"/>
                <w:szCs w:val="24"/>
              </w:rPr>
            </w:pPr>
          </w:p>
          <w:p w14:paraId="45D3BC09" w14:textId="3FA71E7C" w:rsidR="00233AB1" w:rsidRDefault="00233AB1" w:rsidP="00456465">
            <w:pPr>
              <w:spacing w:after="0" w:line="240" w:lineRule="auto"/>
              <w:rPr>
                <w:rFonts w:ascii="Arial" w:hAnsi="Arial" w:cs="Arial"/>
                <w:sz w:val="24"/>
                <w:szCs w:val="24"/>
              </w:rPr>
            </w:pPr>
          </w:p>
          <w:p w14:paraId="2F0E4790" w14:textId="4CF0E87A" w:rsidR="003F0BD1" w:rsidRDefault="003F0BD1" w:rsidP="00456465">
            <w:pPr>
              <w:spacing w:after="0" w:line="240" w:lineRule="auto"/>
              <w:rPr>
                <w:rFonts w:ascii="Arial" w:hAnsi="Arial" w:cs="Arial"/>
                <w:sz w:val="24"/>
                <w:szCs w:val="24"/>
              </w:rPr>
            </w:pPr>
          </w:p>
          <w:p w14:paraId="51136AFC" w14:textId="77777777" w:rsidR="00EC5441" w:rsidRDefault="00EC5441" w:rsidP="00456465">
            <w:pPr>
              <w:spacing w:after="0" w:line="240" w:lineRule="auto"/>
              <w:rPr>
                <w:rFonts w:ascii="Arial" w:hAnsi="Arial" w:cs="Arial"/>
                <w:sz w:val="24"/>
                <w:szCs w:val="24"/>
              </w:rPr>
            </w:pPr>
          </w:p>
          <w:p w14:paraId="58756EE8" w14:textId="77777777" w:rsidR="002C77A0" w:rsidRDefault="002C77A0" w:rsidP="007079E9">
            <w:pPr>
              <w:spacing w:after="0" w:line="240" w:lineRule="auto"/>
              <w:rPr>
                <w:rFonts w:ascii="Arial" w:hAnsi="Arial" w:cs="Arial"/>
                <w:sz w:val="24"/>
                <w:szCs w:val="24"/>
              </w:rPr>
            </w:pPr>
            <w:r>
              <w:rPr>
                <w:rFonts w:ascii="Arial" w:hAnsi="Arial" w:cs="Arial"/>
                <w:sz w:val="24"/>
                <w:szCs w:val="24"/>
              </w:rPr>
              <w:t>4.11</w:t>
            </w:r>
          </w:p>
          <w:p w14:paraId="2C2CA189" w14:textId="77777777" w:rsidR="002C77A0" w:rsidRDefault="002C77A0" w:rsidP="007079E9">
            <w:pPr>
              <w:spacing w:after="0" w:line="240" w:lineRule="auto"/>
              <w:rPr>
                <w:rFonts w:ascii="Arial" w:hAnsi="Arial" w:cs="Arial"/>
                <w:sz w:val="24"/>
                <w:szCs w:val="24"/>
              </w:rPr>
            </w:pPr>
          </w:p>
          <w:p w14:paraId="473DC3C9" w14:textId="77777777" w:rsidR="002C77A0" w:rsidRDefault="002C77A0" w:rsidP="007079E9">
            <w:pPr>
              <w:spacing w:after="0" w:line="240" w:lineRule="auto"/>
              <w:rPr>
                <w:rFonts w:ascii="Arial" w:hAnsi="Arial" w:cs="Arial"/>
                <w:sz w:val="24"/>
                <w:szCs w:val="24"/>
              </w:rPr>
            </w:pPr>
          </w:p>
          <w:p w14:paraId="278CC6A5" w14:textId="77777777" w:rsidR="002C77A0" w:rsidRDefault="002C77A0" w:rsidP="007079E9">
            <w:pPr>
              <w:spacing w:after="0" w:line="240" w:lineRule="auto"/>
              <w:rPr>
                <w:rFonts w:ascii="Arial" w:hAnsi="Arial" w:cs="Arial"/>
                <w:sz w:val="24"/>
                <w:szCs w:val="24"/>
              </w:rPr>
            </w:pPr>
          </w:p>
          <w:p w14:paraId="5EAD6C80" w14:textId="77777777" w:rsidR="002C77A0" w:rsidRDefault="002C77A0" w:rsidP="007079E9">
            <w:pPr>
              <w:spacing w:after="0" w:line="240" w:lineRule="auto"/>
              <w:rPr>
                <w:rFonts w:ascii="Arial" w:hAnsi="Arial" w:cs="Arial"/>
                <w:sz w:val="24"/>
                <w:szCs w:val="24"/>
              </w:rPr>
            </w:pPr>
          </w:p>
          <w:p w14:paraId="3E284C0F" w14:textId="77777777" w:rsidR="002C77A0" w:rsidRDefault="002C77A0" w:rsidP="007079E9">
            <w:pPr>
              <w:spacing w:after="0" w:line="240" w:lineRule="auto"/>
              <w:rPr>
                <w:rFonts w:ascii="Arial" w:hAnsi="Arial" w:cs="Arial"/>
                <w:sz w:val="24"/>
                <w:szCs w:val="24"/>
              </w:rPr>
            </w:pPr>
          </w:p>
          <w:p w14:paraId="2AFAA1F5" w14:textId="77777777" w:rsidR="002C77A0" w:rsidRDefault="002C77A0" w:rsidP="007079E9">
            <w:pPr>
              <w:spacing w:after="0" w:line="240" w:lineRule="auto"/>
              <w:rPr>
                <w:rFonts w:ascii="Arial" w:hAnsi="Arial" w:cs="Arial"/>
                <w:sz w:val="24"/>
                <w:szCs w:val="24"/>
              </w:rPr>
            </w:pPr>
          </w:p>
          <w:p w14:paraId="6C240AEB" w14:textId="77777777" w:rsidR="002C77A0" w:rsidRDefault="002C77A0" w:rsidP="007079E9">
            <w:pPr>
              <w:spacing w:after="0" w:line="240" w:lineRule="auto"/>
              <w:rPr>
                <w:rFonts w:ascii="Arial" w:hAnsi="Arial" w:cs="Arial"/>
                <w:sz w:val="24"/>
                <w:szCs w:val="24"/>
              </w:rPr>
            </w:pPr>
          </w:p>
          <w:p w14:paraId="3DC3CE2F" w14:textId="77777777" w:rsidR="002C77A0" w:rsidRDefault="002C77A0" w:rsidP="007079E9">
            <w:pPr>
              <w:spacing w:after="0" w:line="240" w:lineRule="auto"/>
              <w:rPr>
                <w:rFonts w:ascii="Arial" w:hAnsi="Arial" w:cs="Arial"/>
                <w:sz w:val="24"/>
                <w:szCs w:val="24"/>
              </w:rPr>
            </w:pPr>
          </w:p>
          <w:p w14:paraId="1BC9C1CF" w14:textId="77777777" w:rsidR="002C77A0" w:rsidRDefault="002C77A0" w:rsidP="007079E9">
            <w:pPr>
              <w:spacing w:after="0" w:line="240" w:lineRule="auto"/>
              <w:rPr>
                <w:rFonts w:ascii="Arial" w:hAnsi="Arial" w:cs="Arial"/>
                <w:sz w:val="24"/>
                <w:szCs w:val="24"/>
              </w:rPr>
            </w:pPr>
          </w:p>
          <w:p w14:paraId="261CE8C9" w14:textId="77777777" w:rsidR="002C77A0" w:rsidRDefault="002C77A0" w:rsidP="007079E9">
            <w:pPr>
              <w:spacing w:after="0" w:line="240" w:lineRule="auto"/>
              <w:rPr>
                <w:rFonts w:ascii="Arial" w:hAnsi="Arial" w:cs="Arial"/>
                <w:sz w:val="24"/>
                <w:szCs w:val="24"/>
              </w:rPr>
            </w:pPr>
          </w:p>
          <w:p w14:paraId="3E1B1E8B" w14:textId="77777777" w:rsidR="002C77A0" w:rsidRDefault="002C77A0" w:rsidP="007079E9">
            <w:pPr>
              <w:spacing w:after="0" w:line="240" w:lineRule="auto"/>
              <w:rPr>
                <w:rFonts w:ascii="Arial" w:hAnsi="Arial" w:cs="Arial"/>
                <w:sz w:val="24"/>
                <w:szCs w:val="24"/>
              </w:rPr>
            </w:pPr>
          </w:p>
          <w:p w14:paraId="316F84D4" w14:textId="77777777" w:rsidR="002C77A0" w:rsidRDefault="002C77A0" w:rsidP="007079E9">
            <w:pPr>
              <w:spacing w:after="0" w:line="240" w:lineRule="auto"/>
              <w:rPr>
                <w:rFonts w:ascii="Arial" w:hAnsi="Arial" w:cs="Arial"/>
                <w:sz w:val="24"/>
                <w:szCs w:val="24"/>
              </w:rPr>
            </w:pPr>
          </w:p>
          <w:p w14:paraId="1E4773B0" w14:textId="77777777" w:rsidR="002C77A0" w:rsidRDefault="002C77A0" w:rsidP="007079E9">
            <w:pPr>
              <w:spacing w:after="0" w:line="240" w:lineRule="auto"/>
              <w:rPr>
                <w:rFonts w:ascii="Arial" w:hAnsi="Arial" w:cs="Arial"/>
                <w:sz w:val="24"/>
                <w:szCs w:val="24"/>
              </w:rPr>
            </w:pPr>
          </w:p>
          <w:p w14:paraId="362DE308" w14:textId="77777777" w:rsidR="002C77A0" w:rsidRDefault="002C77A0" w:rsidP="007079E9">
            <w:pPr>
              <w:spacing w:after="0" w:line="240" w:lineRule="auto"/>
              <w:rPr>
                <w:rFonts w:ascii="Arial" w:hAnsi="Arial" w:cs="Arial"/>
                <w:sz w:val="24"/>
                <w:szCs w:val="24"/>
              </w:rPr>
            </w:pPr>
          </w:p>
          <w:p w14:paraId="196B774F" w14:textId="77777777" w:rsidR="002C77A0" w:rsidRDefault="002C77A0" w:rsidP="007079E9">
            <w:pPr>
              <w:spacing w:after="0" w:line="240" w:lineRule="auto"/>
              <w:rPr>
                <w:rFonts w:ascii="Arial" w:hAnsi="Arial" w:cs="Arial"/>
                <w:sz w:val="24"/>
                <w:szCs w:val="24"/>
              </w:rPr>
            </w:pPr>
          </w:p>
          <w:p w14:paraId="4ACCDD87" w14:textId="77777777" w:rsidR="002C77A0" w:rsidRDefault="002C77A0" w:rsidP="007079E9">
            <w:pPr>
              <w:spacing w:after="0" w:line="240" w:lineRule="auto"/>
              <w:rPr>
                <w:rFonts w:ascii="Arial" w:hAnsi="Arial" w:cs="Arial"/>
                <w:sz w:val="24"/>
                <w:szCs w:val="24"/>
              </w:rPr>
            </w:pPr>
          </w:p>
          <w:p w14:paraId="305B56FD" w14:textId="77777777" w:rsidR="002C77A0" w:rsidRDefault="002C77A0" w:rsidP="007079E9">
            <w:pPr>
              <w:spacing w:after="0" w:line="240" w:lineRule="auto"/>
              <w:rPr>
                <w:rFonts w:ascii="Arial" w:hAnsi="Arial" w:cs="Arial"/>
                <w:sz w:val="24"/>
                <w:szCs w:val="24"/>
              </w:rPr>
            </w:pPr>
          </w:p>
          <w:p w14:paraId="3B2504AC" w14:textId="77777777" w:rsidR="002C77A0" w:rsidRDefault="002C77A0" w:rsidP="007079E9">
            <w:pPr>
              <w:spacing w:after="0" w:line="240" w:lineRule="auto"/>
              <w:rPr>
                <w:rFonts w:ascii="Arial" w:hAnsi="Arial" w:cs="Arial"/>
                <w:sz w:val="24"/>
                <w:szCs w:val="24"/>
              </w:rPr>
            </w:pPr>
          </w:p>
          <w:p w14:paraId="16310F62" w14:textId="77777777" w:rsidR="002C77A0" w:rsidRDefault="002C77A0" w:rsidP="007079E9">
            <w:pPr>
              <w:spacing w:after="0" w:line="240" w:lineRule="auto"/>
              <w:rPr>
                <w:rFonts w:ascii="Arial" w:hAnsi="Arial" w:cs="Arial"/>
                <w:sz w:val="24"/>
                <w:szCs w:val="24"/>
              </w:rPr>
            </w:pPr>
          </w:p>
          <w:p w14:paraId="7327CE5B" w14:textId="77777777" w:rsidR="002C77A0" w:rsidRDefault="002C77A0" w:rsidP="007079E9">
            <w:pPr>
              <w:spacing w:after="0" w:line="240" w:lineRule="auto"/>
              <w:rPr>
                <w:rFonts w:ascii="Arial" w:hAnsi="Arial" w:cs="Arial"/>
                <w:sz w:val="24"/>
                <w:szCs w:val="24"/>
              </w:rPr>
            </w:pPr>
          </w:p>
          <w:p w14:paraId="59247C42" w14:textId="77777777" w:rsidR="002C77A0" w:rsidRDefault="002C77A0" w:rsidP="007079E9">
            <w:pPr>
              <w:spacing w:after="0" w:line="240" w:lineRule="auto"/>
              <w:rPr>
                <w:rFonts w:ascii="Arial" w:hAnsi="Arial" w:cs="Arial"/>
                <w:sz w:val="24"/>
                <w:szCs w:val="24"/>
              </w:rPr>
            </w:pPr>
          </w:p>
          <w:p w14:paraId="67BFCBE9" w14:textId="77777777" w:rsidR="002C77A0" w:rsidRDefault="002C77A0" w:rsidP="007079E9">
            <w:pPr>
              <w:spacing w:after="0" w:line="240" w:lineRule="auto"/>
              <w:rPr>
                <w:rFonts w:ascii="Arial" w:hAnsi="Arial" w:cs="Arial"/>
                <w:sz w:val="24"/>
                <w:szCs w:val="24"/>
              </w:rPr>
            </w:pPr>
          </w:p>
          <w:p w14:paraId="43FEA4FA" w14:textId="77777777" w:rsidR="002C77A0" w:rsidRDefault="002C77A0" w:rsidP="007079E9">
            <w:pPr>
              <w:spacing w:after="0" w:line="240" w:lineRule="auto"/>
              <w:rPr>
                <w:rFonts w:ascii="Arial" w:hAnsi="Arial" w:cs="Arial"/>
                <w:sz w:val="24"/>
                <w:szCs w:val="24"/>
              </w:rPr>
            </w:pPr>
          </w:p>
          <w:p w14:paraId="1B0BE3EA" w14:textId="77777777" w:rsidR="002C77A0" w:rsidRDefault="002C77A0" w:rsidP="007079E9">
            <w:pPr>
              <w:spacing w:after="0" w:line="240" w:lineRule="auto"/>
              <w:rPr>
                <w:rFonts w:ascii="Arial" w:hAnsi="Arial" w:cs="Arial"/>
                <w:sz w:val="24"/>
                <w:szCs w:val="24"/>
              </w:rPr>
            </w:pPr>
          </w:p>
          <w:p w14:paraId="32333A5C" w14:textId="77777777" w:rsidR="002C77A0" w:rsidRDefault="002C77A0" w:rsidP="007079E9">
            <w:pPr>
              <w:spacing w:after="0" w:line="240" w:lineRule="auto"/>
              <w:rPr>
                <w:rFonts w:ascii="Arial" w:hAnsi="Arial" w:cs="Arial"/>
                <w:sz w:val="24"/>
                <w:szCs w:val="24"/>
              </w:rPr>
            </w:pPr>
          </w:p>
          <w:p w14:paraId="7252B7A8" w14:textId="77777777" w:rsidR="002C77A0" w:rsidRDefault="002C77A0" w:rsidP="007079E9">
            <w:pPr>
              <w:spacing w:after="0" w:line="240" w:lineRule="auto"/>
              <w:rPr>
                <w:rFonts w:ascii="Arial" w:hAnsi="Arial" w:cs="Arial"/>
                <w:sz w:val="24"/>
                <w:szCs w:val="24"/>
              </w:rPr>
            </w:pPr>
          </w:p>
          <w:p w14:paraId="6A5C98DF" w14:textId="77777777" w:rsidR="002C77A0" w:rsidRDefault="002C77A0" w:rsidP="007079E9">
            <w:pPr>
              <w:spacing w:after="0" w:line="240" w:lineRule="auto"/>
              <w:rPr>
                <w:rFonts w:ascii="Arial" w:hAnsi="Arial" w:cs="Arial"/>
                <w:sz w:val="24"/>
                <w:szCs w:val="24"/>
              </w:rPr>
            </w:pPr>
          </w:p>
          <w:p w14:paraId="7D619220" w14:textId="77777777" w:rsidR="002C77A0" w:rsidRDefault="002C77A0" w:rsidP="007079E9">
            <w:pPr>
              <w:spacing w:after="0" w:line="240" w:lineRule="auto"/>
              <w:rPr>
                <w:rFonts w:ascii="Arial" w:hAnsi="Arial" w:cs="Arial"/>
                <w:sz w:val="24"/>
                <w:szCs w:val="24"/>
              </w:rPr>
            </w:pPr>
          </w:p>
          <w:p w14:paraId="232FE424" w14:textId="77777777" w:rsidR="002C77A0" w:rsidRDefault="002C77A0" w:rsidP="007079E9">
            <w:pPr>
              <w:spacing w:after="0" w:line="240" w:lineRule="auto"/>
              <w:rPr>
                <w:rFonts w:ascii="Arial" w:hAnsi="Arial" w:cs="Arial"/>
                <w:sz w:val="24"/>
                <w:szCs w:val="24"/>
              </w:rPr>
            </w:pPr>
          </w:p>
          <w:p w14:paraId="7F4FFF22" w14:textId="77777777" w:rsidR="002C77A0" w:rsidRDefault="002C77A0" w:rsidP="007079E9">
            <w:pPr>
              <w:spacing w:after="0" w:line="240" w:lineRule="auto"/>
              <w:rPr>
                <w:rFonts w:ascii="Arial" w:hAnsi="Arial" w:cs="Arial"/>
                <w:sz w:val="24"/>
                <w:szCs w:val="24"/>
              </w:rPr>
            </w:pPr>
          </w:p>
          <w:p w14:paraId="3AFBB530" w14:textId="77777777" w:rsidR="002C77A0" w:rsidRDefault="002C77A0" w:rsidP="007079E9">
            <w:pPr>
              <w:spacing w:after="0" w:line="240" w:lineRule="auto"/>
              <w:rPr>
                <w:rFonts w:ascii="Arial" w:hAnsi="Arial" w:cs="Arial"/>
                <w:sz w:val="24"/>
                <w:szCs w:val="24"/>
              </w:rPr>
            </w:pPr>
          </w:p>
          <w:p w14:paraId="6562B366" w14:textId="77777777" w:rsidR="002C77A0" w:rsidRDefault="002C77A0" w:rsidP="007079E9">
            <w:pPr>
              <w:spacing w:after="0" w:line="240" w:lineRule="auto"/>
              <w:rPr>
                <w:rFonts w:ascii="Arial" w:hAnsi="Arial" w:cs="Arial"/>
                <w:sz w:val="24"/>
                <w:szCs w:val="24"/>
              </w:rPr>
            </w:pPr>
          </w:p>
          <w:p w14:paraId="16893C67" w14:textId="77777777" w:rsidR="002C77A0" w:rsidRDefault="002C77A0" w:rsidP="007079E9">
            <w:pPr>
              <w:spacing w:after="0" w:line="240" w:lineRule="auto"/>
              <w:rPr>
                <w:rFonts w:ascii="Arial" w:hAnsi="Arial" w:cs="Arial"/>
                <w:sz w:val="24"/>
                <w:szCs w:val="24"/>
              </w:rPr>
            </w:pPr>
          </w:p>
          <w:p w14:paraId="29DF07EC" w14:textId="77777777" w:rsidR="002C77A0" w:rsidRDefault="002C77A0" w:rsidP="007079E9">
            <w:pPr>
              <w:spacing w:after="0" w:line="240" w:lineRule="auto"/>
              <w:rPr>
                <w:rFonts w:ascii="Arial" w:hAnsi="Arial" w:cs="Arial"/>
                <w:sz w:val="24"/>
                <w:szCs w:val="24"/>
              </w:rPr>
            </w:pPr>
          </w:p>
          <w:p w14:paraId="6C3FADAB" w14:textId="77777777" w:rsidR="002C77A0" w:rsidRDefault="002C77A0" w:rsidP="007079E9">
            <w:pPr>
              <w:spacing w:after="0" w:line="240" w:lineRule="auto"/>
              <w:rPr>
                <w:rFonts w:ascii="Arial" w:hAnsi="Arial" w:cs="Arial"/>
                <w:sz w:val="24"/>
                <w:szCs w:val="24"/>
              </w:rPr>
            </w:pPr>
          </w:p>
          <w:p w14:paraId="61F65728" w14:textId="77777777" w:rsidR="002C77A0" w:rsidRDefault="002C77A0" w:rsidP="007079E9">
            <w:pPr>
              <w:spacing w:after="0" w:line="240" w:lineRule="auto"/>
              <w:rPr>
                <w:rFonts w:ascii="Arial" w:hAnsi="Arial" w:cs="Arial"/>
                <w:sz w:val="24"/>
                <w:szCs w:val="24"/>
              </w:rPr>
            </w:pPr>
          </w:p>
          <w:p w14:paraId="427A71DF" w14:textId="77777777" w:rsidR="002C77A0" w:rsidRDefault="002C77A0" w:rsidP="007079E9">
            <w:pPr>
              <w:spacing w:after="0" w:line="240" w:lineRule="auto"/>
              <w:rPr>
                <w:rFonts w:ascii="Arial" w:hAnsi="Arial" w:cs="Arial"/>
                <w:sz w:val="24"/>
                <w:szCs w:val="24"/>
              </w:rPr>
            </w:pPr>
          </w:p>
          <w:p w14:paraId="6E6F57C4" w14:textId="77777777" w:rsidR="002C77A0" w:rsidRDefault="002C77A0" w:rsidP="007079E9">
            <w:pPr>
              <w:spacing w:after="0" w:line="240" w:lineRule="auto"/>
              <w:rPr>
                <w:rFonts w:ascii="Arial" w:hAnsi="Arial" w:cs="Arial"/>
                <w:sz w:val="24"/>
                <w:szCs w:val="24"/>
              </w:rPr>
            </w:pPr>
          </w:p>
          <w:p w14:paraId="4086FFA7" w14:textId="77777777" w:rsidR="002C77A0" w:rsidRDefault="002C77A0" w:rsidP="007079E9">
            <w:pPr>
              <w:spacing w:after="0" w:line="240" w:lineRule="auto"/>
              <w:rPr>
                <w:rFonts w:ascii="Arial" w:hAnsi="Arial" w:cs="Arial"/>
                <w:sz w:val="24"/>
                <w:szCs w:val="24"/>
              </w:rPr>
            </w:pPr>
          </w:p>
          <w:p w14:paraId="160A707A" w14:textId="77777777" w:rsidR="002C77A0" w:rsidRDefault="002C77A0" w:rsidP="007079E9">
            <w:pPr>
              <w:spacing w:after="0" w:line="240" w:lineRule="auto"/>
              <w:rPr>
                <w:rFonts w:ascii="Arial" w:hAnsi="Arial" w:cs="Arial"/>
                <w:sz w:val="24"/>
                <w:szCs w:val="24"/>
              </w:rPr>
            </w:pPr>
          </w:p>
          <w:p w14:paraId="2989C4C0" w14:textId="77777777" w:rsidR="002C77A0" w:rsidRDefault="002C77A0" w:rsidP="007079E9">
            <w:pPr>
              <w:spacing w:after="0" w:line="240" w:lineRule="auto"/>
              <w:rPr>
                <w:rFonts w:ascii="Arial" w:hAnsi="Arial" w:cs="Arial"/>
                <w:sz w:val="24"/>
                <w:szCs w:val="24"/>
              </w:rPr>
            </w:pPr>
          </w:p>
          <w:p w14:paraId="254DB7B8" w14:textId="77777777" w:rsidR="002C77A0" w:rsidRDefault="002C77A0" w:rsidP="007079E9">
            <w:pPr>
              <w:spacing w:after="0" w:line="240" w:lineRule="auto"/>
              <w:rPr>
                <w:rFonts w:ascii="Arial" w:hAnsi="Arial" w:cs="Arial"/>
                <w:sz w:val="24"/>
                <w:szCs w:val="24"/>
              </w:rPr>
            </w:pPr>
          </w:p>
          <w:p w14:paraId="318DC9A3" w14:textId="77777777" w:rsidR="002C77A0" w:rsidRDefault="002C77A0" w:rsidP="007079E9">
            <w:pPr>
              <w:spacing w:after="0" w:line="240" w:lineRule="auto"/>
              <w:rPr>
                <w:rFonts w:ascii="Arial" w:hAnsi="Arial" w:cs="Arial"/>
                <w:sz w:val="24"/>
                <w:szCs w:val="24"/>
              </w:rPr>
            </w:pPr>
          </w:p>
          <w:p w14:paraId="277D4A1C" w14:textId="77777777" w:rsidR="002C77A0" w:rsidRDefault="002C77A0" w:rsidP="007079E9">
            <w:pPr>
              <w:spacing w:after="0" w:line="240" w:lineRule="auto"/>
              <w:rPr>
                <w:rFonts w:ascii="Arial" w:hAnsi="Arial" w:cs="Arial"/>
                <w:sz w:val="24"/>
                <w:szCs w:val="24"/>
              </w:rPr>
            </w:pPr>
          </w:p>
          <w:p w14:paraId="0C90CA20" w14:textId="77777777" w:rsidR="002C77A0" w:rsidRDefault="002C77A0" w:rsidP="007079E9">
            <w:pPr>
              <w:spacing w:after="0" w:line="240" w:lineRule="auto"/>
              <w:rPr>
                <w:rFonts w:ascii="Arial" w:hAnsi="Arial" w:cs="Arial"/>
                <w:sz w:val="24"/>
                <w:szCs w:val="24"/>
              </w:rPr>
            </w:pPr>
          </w:p>
          <w:p w14:paraId="29A6D8B6" w14:textId="77777777" w:rsidR="002C77A0" w:rsidRDefault="002C77A0" w:rsidP="007079E9">
            <w:pPr>
              <w:spacing w:after="0" w:line="240" w:lineRule="auto"/>
              <w:rPr>
                <w:rFonts w:ascii="Arial" w:hAnsi="Arial" w:cs="Arial"/>
                <w:sz w:val="24"/>
                <w:szCs w:val="24"/>
              </w:rPr>
            </w:pPr>
          </w:p>
          <w:p w14:paraId="00D4829B" w14:textId="77777777" w:rsidR="002C77A0" w:rsidRDefault="002C77A0" w:rsidP="007079E9">
            <w:pPr>
              <w:spacing w:after="0" w:line="240" w:lineRule="auto"/>
              <w:rPr>
                <w:rFonts w:ascii="Arial" w:hAnsi="Arial" w:cs="Arial"/>
                <w:sz w:val="24"/>
                <w:szCs w:val="24"/>
              </w:rPr>
            </w:pPr>
          </w:p>
          <w:p w14:paraId="73A32888" w14:textId="77777777" w:rsidR="002C77A0" w:rsidRDefault="002C77A0" w:rsidP="007079E9">
            <w:pPr>
              <w:spacing w:after="0" w:line="240" w:lineRule="auto"/>
              <w:rPr>
                <w:rFonts w:ascii="Arial" w:hAnsi="Arial" w:cs="Arial"/>
                <w:sz w:val="24"/>
                <w:szCs w:val="24"/>
              </w:rPr>
            </w:pPr>
          </w:p>
          <w:p w14:paraId="5556DA66" w14:textId="77777777" w:rsidR="002C77A0" w:rsidRDefault="002C77A0" w:rsidP="007079E9">
            <w:pPr>
              <w:spacing w:after="0" w:line="240" w:lineRule="auto"/>
              <w:rPr>
                <w:rFonts w:ascii="Arial" w:hAnsi="Arial" w:cs="Arial"/>
                <w:sz w:val="24"/>
                <w:szCs w:val="24"/>
              </w:rPr>
            </w:pPr>
          </w:p>
          <w:p w14:paraId="00055D24" w14:textId="77777777" w:rsidR="002C77A0" w:rsidRDefault="002C77A0" w:rsidP="007079E9">
            <w:pPr>
              <w:spacing w:after="0" w:line="240" w:lineRule="auto"/>
              <w:rPr>
                <w:rFonts w:ascii="Arial" w:hAnsi="Arial" w:cs="Arial"/>
                <w:sz w:val="24"/>
                <w:szCs w:val="24"/>
              </w:rPr>
            </w:pPr>
          </w:p>
          <w:p w14:paraId="68D2D8A3" w14:textId="77777777" w:rsidR="002C77A0" w:rsidRDefault="002C77A0" w:rsidP="007079E9">
            <w:pPr>
              <w:spacing w:after="0" w:line="240" w:lineRule="auto"/>
              <w:rPr>
                <w:rFonts w:ascii="Arial" w:hAnsi="Arial" w:cs="Arial"/>
                <w:sz w:val="24"/>
                <w:szCs w:val="24"/>
              </w:rPr>
            </w:pPr>
          </w:p>
          <w:p w14:paraId="7BCDC5A5" w14:textId="77777777" w:rsidR="002C77A0" w:rsidRDefault="002C77A0" w:rsidP="007079E9">
            <w:pPr>
              <w:spacing w:after="0" w:line="240" w:lineRule="auto"/>
              <w:rPr>
                <w:rFonts w:ascii="Arial" w:hAnsi="Arial" w:cs="Arial"/>
                <w:sz w:val="24"/>
                <w:szCs w:val="24"/>
              </w:rPr>
            </w:pPr>
          </w:p>
          <w:p w14:paraId="2024503E" w14:textId="77777777" w:rsidR="002C77A0" w:rsidRDefault="002C77A0" w:rsidP="007079E9">
            <w:pPr>
              <w:spacing w:after="0" w:line="240" w:lineRule="auto"/>
              <w:rPr>
                <w:rFonts w:ascii="Arial" w:hAnsi="Arial" w:cs="Arial"/>
                <w:sz w:val="24"/>
                <w:szCs w:val="24"/>
              </w:rPr>
            </w:pPr>
          </w:p>
          <w:p w14:paraId="2C271365" w14:textId="77777777" w:rsidR="002C77A0" w:rsidRDefault="002C77A0" w:rsidP="007079E9">
            <w:pPr>
              <w:spacing w:after="0" w:line="240" w:lineRule="auto"/>
              <w:rPr>
                <w:rFonts w:ascii="Arial" w:hAnsi="Arial" w:cs="Arial"/>
                <w:sz w:val="24"/>
                <w:szCs w:val="24"/>
              </w:rPr>
            </w:pPr>
          </w:p>
          <w:p w14:paraId="721FDE5C" w14:textId="77777777" w:rsidR="002C77A0" w:rsidRDefault="002C77A0" w:rsidP="007079E9">
            <w:pPr>
              <w:spacing w:after="0" w:line="240" w:lineRule="auto"/>
              <w:rPr>
                <w:rFonts w:ascii="Arial" w:hAnsi="Arial" w:cs="Arial"/>
                <w:sz w:val="24"/>
                <w:szCs w:val="24"/>
              </w:rPr>
            </w:pPr>
          </w:p>
          <w:p w14:paraId="4BA25300" w14:textId="77777777" w:rsidR="002C77A0" w:rsidRDefault="002C77A0" w:rsidP="007079E9">
            <w:pPr>
              <w:spacing w:after="0" w:line="240" w:lineRule="auto"/>
              <w:rPr>
                <w:rFonts w:ascii="Arial" w:hAnsi="Arial" w:cs="Arial"/>
                <w:sz w:val="24"/>
                <w:szCs w:val="24"/>
              </w:rPr>
            </w:pPr>
          </w:p>
          <w:p w14:paraId="2D571047" w14:textId="77777777" w:rsidR="002C77A0" w:rsidRDefault="002C77A0" w:rsidP="007079E9">
            <w:pPr>
              <w:spacing w:after="0" w:line="240" w:lineRule="auto"/>
              <w:rPr>
                <w:rFonts w:ascii="Arial" w:hAnsi="Arial" w:cs="Arial"/>
                <w:sz w:val="24"/>
                <w:szCs w:val="24"/>
              </w:rPr>
            </w:pPr>
          </w:p>
          <w:p w14:paraId="00182F24" w14:textId="77777777" w:rsidR="002C77A0" w:rsidRDefault="002C77A0" w:rsidP="007079E9">
            <w:pPr>
              <w:spacing w:after="0" w:line="240" w:lineRule="auto"/>
              <w:rPr>
                <w:rFonts w:ascii="Arial" w:hAnsi="Arial" w:cs="Arial"/>
                <w:sz w:val="24"/>
                <w:szCs w:val="24"/>
              </w:rPr>
            </w:pPr>
          </w:p>
          <w:p w14:paraId="3AD52629" w14:textId="77777777" w:rsidR="002C77A0" w:rsidRDefault="002C77A0" w:rsidP="007079E9">
            <w:pPr>
              <w:spacing w:after="0" w:line="240" w:lineRule="auto"/>
              <w:rPr>
                <w:rFonts w:ascii="Arial" w:hAnsi="Arial" w:cs="Arial"/>
                <w:sz w:val="24"/>
                <w:szCs w:val="24"/>
              </w:rPr>
            </w:pPr>
          </w:p>
          <w:p w14:paraId="1E25C193" w14:textId="77777777" w:rsidR="002C77A0" w:rsidRDefault="002C77A0" w:rsidP="007079E9">
            <w:pPr>
              <w:spacing w:after="0" w:line="240" w:lineRule="auto"/>
              <w:rPr>
                <w:rFonts w:ascii="Arial" w:hAnsi="Arial" w:cs="Arial"/>
                <w:sz w:val="24"/>
                <w:szCs w:val="24"/>
              </w:rPr>
            </w:pPr>
          </w:p>
          <w:p w14:paraId="297FDAE0" w14:textId="77777777" w:rsidR="002C77A0" w:rsidRDefault="002C77A0" w:rsidP="007079E9">
            <w:pPr>
              <w:spacing w:after="0" w:line="240" w:lineRule="auto"/>
              <w:rPr>
                <w:rFonts w:ascii="Arial" w:hAnsi="Arial" w:cs="Arial"/>
                <w:sz w:val="24"/>
                <w:szCs w:val="24"/>
              </w:rPr>
            </w:pPr>
          </w:p>
          <w:p w14:paraId="28FC9F3D" w14:textId="77777777" w:rsidR="002C77A0" w:rsidRDefault="002C77A0" w:rsidP="007079E9">
            <w:pPr>
              <w:spacing w:after="0" w:line="240" w:lineRule="auto"/>
              <w:rPr>
                <w:rFonts w:ascii="Arial" w:hAnsi="Arial" w:cs="Arial"/>
                <w:sz w:val="24"/>
                <w:szCs w:val="24"/>
              </w:rPr>
            </w:pPr>
          </w:p>
          <w:p w14:paraId="7E75B528" w14:textId="77777777" w:rsidR="002C77A0" w:rsidRDefault="002C77A0" w:rsidP="007079E9">
            <w:pPr>
              <w:spacing w:after="0" w:line="240" w:lineRule="auto"/>
              <w:rPr>
                <w:rFonts w:ascii="Arial" w:hAnsi="Arial" w:cs="Arial"/>
                <w:sz w:val="24"/>
                <w:szCs w:val="24"/>
              </w:rPr>
            </w:pPr>
          </w:p>
          <w:p w14:paraId="04B3C31C" w14:textId="77777777" w:rsidR="002C77A0" w:rsidRDefault="002C77A0" w:rsidP="007079E9">
            <w:pPr>
              <w:spacing w:after="0" w:line="240" w:lineRule="auto"/>
              <w:rPr>
                <w:rFonts w:ascii="Arial" w:hAnsi="Arial" w:cs="Arial"/>
                <w:sz w:val="24"/>
                <w:szCs w:val="24"/>
              </w:rPr>
            </w:pPr>
          </w:p>
          <w:p w14:paraId="7F50BB25" w14:textId="77777777" w:rsidR="002C77A0" w:rsidRDefault="002C77A0" w:rsidP="007079E9">
            <w:pPr>
              <w:spacing w:after="0" w:line="240" w:lineRule="auto"/>
              <w:rPr>
                <w:rFonts w:ascii="Arial" w:hAnsi="Arial" w:cs="Arial"/>
                <w:sz w:val="24"/>
                <w:szCs w:val="24"/>
              </w:rPr>
            </w:pPr>
          </w:p>
          <w:p w14:paraId="57288090" w14:textId="77777777" w:rsidR="002C77A0" w:rsidRDefault="002C77A0" w:rsidP="007079E9">
            <w:pPr>
              <w:spacing w:after="0" w:line="240" w:lineRule="auto"/>
              <w:rPr>
                <w:rFonts w:ascii="Arial" w:hAnsi="Arial" w:cs="Arial"/>
                <w:sz w:val="24"/>
                <w:szCs w:val="24"/>
              </w:rPr>
            </w:pPr>
          </w:p>
          <w:p w14:paraId="47D8F38C" w14:textId="77777777" w:rsidR="002C77A0" w:rsidRDefault="002C77A0" w:rsidP="007079E9">
            <w:pPr>
              <w:spacing w:after="0" w:line="240" w:lineRule="auto"/>
              <w:rPr>
                <w:rFonts w:ascii="Arial" w:hAnsi="Arial" w:cs="Arial"/>
                <w:sz w:val="24"/>
                <w:szCs w:val="24"/>
              </w:rPr>
            </w:pPr>
          </w:p>
          <w:p w14:paraId="69041687" w14:textId="77777777" w:rsidR="002C77A0" w:rsidRDefault="002C77A0" w:rsidP="007079E9">
            <w:pPr>
              <w:spacing w:after="0" w:line="240" w:lineRule="auto"/>
              <w:rPr>
                <w:rFonts w:ascii="Arial" w:hAnsi="Arial" w:cs="Arial"/>
                <w:sz w:val="24"/>
                <w:szCs w:val="24"/>
              </w:rPr>
            </w:pPr>
          </w:p>
          <w:p w14:paraId="5CE11C9F" w14:textId="77777777" w:rsidR="002C77A0" w:rsidRDefault="002C77A0" w:rsidP="007079E9">
            <w:pPr>
              <w:spacing w:after="0" w:line="240" w:lineRule="auto"/>
              <w:rPr>
                <w:rFonts w:ascii="Arial" w:hAnsi="Arial" w:cs="Arial"/>
                <w:sz w:val="24"/>
                <w:szCs w:val="24"/>
              </w:rPr>
            </w:pPr>
          </w:p>
          <w:p w14:paraId="4313E8F6" w14:textId="77777777" w:rsidR="002C77A0" w:rsidRDefault="002C77A0" w:rsidP="007079E9">
            <w:pPr>
              <w:spacing w:after="0" w:line="240" w:lineRule="auto"/>
              <w:rPr>
                <w:rFonts w:ascii="Arial" w:hAnsi="Arial" w:cs="Arial"/>
                <w:sz w:val="24"/>
                <w:szCs w:val="24"/>
              </w:rPr>
            </w:pPr>
          </w:p>
          <w:p w14:paraId="6DDD001A" w14:textId="77777777" w:rsidR="002C77A0" w:rsidRDefault="002C77A0" w:rsidP="007079E9">
            <w:pPr>
              <w:spacing w:after="0" w:line="240" w:lineRule="auto"/>
              <w:rPr>
                <w:rFonts w:ascii="Arial" w:hAnsi="Arial" w:cs="Arial"/>
                <w:sz w:val="24"/>
                <w:szCs w:val="24"/>
              </w:rPr>
            </w:pPr>
          </w:p>
          <w:p w14:paraId="5259E460" w14:textId="77777777" w:rsidR="002C77A0" w:rsidRDefault="002C77A0" w:rsidP="007079E9">
            <w:pPr>
              <w:spacing w:after="0" w:line="240" w:lineRule="auto"/>
              <w:rPr>
                <w:rFonts w:ascii="Arial" w:hAnsi="Arial" w:cs="Arial"/>
                <w:sz w:val="24"/>
                <w:szCs w:val="24"/>
              </w:rPr>
            </w:pPr>
          </w:p>
          <w:p w14:paraId="5D9B0553" w14:textId="77777777" w:rsidR="002C77A0" w:rsidRDefault="002C77A0" w:rsidP="007079E9">
            <w:pPr>
              <w:spacing w:after="0" w:line="240" w:lineRule="auto"/>
              <w:rPr>
                <w:rFonts w:ascii="Arial" w:hAnsi="Arial" w:cs="Arial"/>
                <w:sz w:val="24"/>
                <w:szCs w:val="24"/>
              </w:rPr>
            </w:pPr>
          </w:p>
          <w:p w14:paraId="1F2821D0" w14:textId="77777777" w:rsidR="002C77A0" w:rsidRDefault="002C77A0" w:rsidP="007079E9">
            <w:pPr>
              <w:spacing w:after="0" w:line="240" w:lineRule="auto"/>
              <w:rPr>
                <w:rFonts w:ascii="Arial" w:hAnsi="Arial" w:cs="Arial"/>
                <w:sz w:val="24"/>
                <w:szCs w:val="24"/>
              </w:rPr>
            </w:pPr>
          </w:p>
          <w:p w14:paraId="61A5E82D" w14:textId="77777777" w:rsidR="002C77A0" w:rsidRDefault="002C77A0" w:rsidP="007079E9">
            <w:pPr>
              <w:spacing w:after="0" w:line="240" w:lineRule="auto"/>
              <w:rPr>
                <w:rFonts w:ascii="Arial" w:hAnsi="Arial" w:cs="Arial"/>
                <w:sz w:val="24"/>
                <w:szCs w:val="24"/>
              </w:rPr>
            </w:pPr>
          </w:p>
          <w:p w14:paraId="34C8E85B" w14:textId="77777777" w:rsidR="002C77A0" w:rsidRDefault="002C77A0" w:rsidP="007079E9">
            <w:pPr>
              <w:spacing w:after="0" w:line="240" w:lineRule="auto"/>
              <w:rPr>
                <w:rFonts w:ascii="Arial" w:hAnsi="Arial" w:cs="Arial"/>
                <w:sz w:val="24"/>
                <w:szCs w:val="24"/>
              </w:rPr>
            </w:pPr>
          </w:p>
          <w:p w14:paraId="1A86B504" w14:textId="77777777" w:rsidR="002C77A0" w:rsidRDefault="002C77A0" w:rsidP="007079E9">
            <w:pPr>
              <w:spacing w:after="0" w:line="240" w:lineRule="auto"/>
              <w:rPr>
                <w:rFonts w:ascii="Arial" w:hAnsi="Arial" w:cs="Arial"/>
                <w:sz w:val="24"/>
                <w:szCs w:val="24"/>
              </w:rPr>
            </w:pPr>
          </w:p>
          <w:p w14:paraId="3CDB18A5" w14:textId="77777777" w:rsidR="002C77A0" w:rsidRDefault="002C77A0" w:rsidP="007079E9">
            <w:pPr>
              <w:spacing w:after="0" w:line="240" w:lineRule="auto"/>
              <w:rPr>
                <w:rFonts w:ascii="Arial" w:hAnsi="Arial" w:cs="Arial"/>
                <w:sz w:val="24"/>
                <w:szCs w:val="24"/>
              </w:rPr>
            </w:pPr>
          </w:p>
          <w:p w14:paraId="3C4D42A4" w14:textId="77777777" w:rsidR="002C77A0" w:rsidRDefault="002C77A0" w:rsidP="007079E9">
            <w:pPr>
              <w:spacing w:after="0" w:line="240" w:lineRule="auto"/>
              <w:rPr>
                <w:rFonts w:ascii="Arial" w:hAnsi="Arial" w:cs="Arial"/>
                <w:sz w:val="24"/>
                <w:szCs w:val="24"/>
              </w:rPr>
            </w:pPr>
          </w:p>
          <w:p w14:paraId="7B02591A" w14:textId="77777777" w:rsidR="002C77A0" w:rsidRDefault="002C77A0" w:rsidP="007079E9">
            <w:pPr>
              <w:spacing w:after="0" w:line="240" w:lineRule="auto"/>
              <w:rPr>
                <w:rFonts w:ascii="Arial" w:hAnsi="Arial" w:cs="Arial"/>
                <w:sz w:val="24"/>
                <w:szCs w:val="24"/>
              </w:rPr>
            </w:pPr>
          </w:p>
          <w:p w14:paraId="24213E3F" w14:textId="77777777" w:rsidR="002C77A0" w:rsidRDefault="002C77A0" w:rsidP="007079E9">
            <w:pPr>
              <w:spacing w:after="0" w:line="240" w:lineRule="auto"/>
              <w:rPr>
                <w:rFonts w:ascii="Arial" w:hAnsi="Arial" w:cs="Arial"/>
                <w:sz w:val="24"/>
                <w:szCs w:val="24"/>
              </w:rPr>
            </w:pPr>
          </w:p>
          <w:p w14:paraId="2A5DBDD8" w14:textId="77777777" w:rsidR="002C77A0" w:rsidRDefault="002C77A0" w:rsidP="007079E9">
            <w:pPr>
              <w:spacing w:after="0" w:line="240" w:lineRule="auto"/>
              <w:rPr>
                <w:rFonts w:ascii="Arial" w:hAnsi="Arial" w:cs="Arial"/>
                <w:sz w:val="24"/>
                <w:szCs w:val="24"/>
              </w:rPr>
            </w:pPr>
          </w:p>
          <w:p w14:paraId="6948E1D4" w14:textId="77777777" w:rsidR="002C77A0" w:rsidRDefault="002C77A0" w:rsidP="007079E9">
            <w:pPr>
              <w:spacing w:after="0" w:line="240" w:lineRule="auto"/>
              <w:rPr>
                <w:rFonts w:ascii="Arial" w:hAnsi="Arial" w:cs="Arial"/>
                <w:sz w:val="24"/>
                <w:szCs w:val="24"/>
              </w:rPr>
            </w:pPr>
          </w:p>
          <w:p w14:paraId="2C0C8478" w14:textId="77777777" w:rsidR="002C77A0" w:rsidRDefault="002C77A0" w:rsidP="007079E9">
            <w:pPr>
              <w:spacing w:after="0" w:line="240" w:lineRule="auto"/>
              <w:rPr>
                <w:rFonts w:ascii="Arial" w:hAnsi="Arial" w:cs="Arial"/>
                <w:sz w:val="24"/>
                <w:szCs w:val="24"/>
              </w:rPr>
            </w:pPr>
          </w:p>
          <w:p w14:paraId="7742AC22" w14:textId="77777777" w:rsidR="002C77A0" w:rsidRDefault="002C77A0" w:rsidP="007079E9">
            <w:pPr>
              <w:spacing w:after="0" w:line="240" w:lineRule="auto"/>
              <w:rPr>
                <w:rFonts w:ascii="Arial" w:hAnsi="Arial" w:cs="Arial"/>
                <w:sz w:val="24"/>
                <w:szCs w:val="24"/>
              </w:rPr>
            </w:pPr>
          </w:p>
          <w:p w14:paraId="53D28B90" w14:textId="77777777" w:rsidR="002C77A0" w:rsidRDefault="002C77A0" w:rsidP="007079E9">
            <w:pPr>
              <w:spacing w:after="0" w:line="240" w:lineRule="auto"/>
              <w:rPr>
                <w:rFonts w:ascii="Arial" w:hAnsi="Arial" w:cs="Arial"/>
                <w:sz w:val="24"/>
                <w:szCs w:val="24"/>
              </w:rPr>
            </w:pPr>
          </w:p>
          <w:p w14:paraId="4F40ECDA" w14:textId="77777777" w:rsidR="002C77A0" w:rsidRDefault="002C77A0" w:rsidP="007079E9">
            <w:pPr>
              <w:spacing w:after="0" w:line="240" w:lineRule="auto"/>
              <w:rPr>
                <w:rFonts w:ascii="Arial" w:hAnsi="Arial" w:cs="Arial"/>
                <w:sz w:val="24"/>
                <w:szCs w:val="24"/>
              </w:rPr>
            </w:pPr>
          </w:p>
          <w:p w14:paraId="08CB435C" w14:textId="77777777" w:rsidR="002C77A0" w:rsidRDefault="002C77A0" w:rsidP="007079E9">
            <w:pPr>
              <w:spacing w:after="0" w:line="240" w:lineRule="auto"/>
              <w:rPr>
                <w:rFonts w:ascii="Arial" w:hAnsi="Arial" w:cs="Arial"/>
                <w:sz w:val="24"/>
                <w:szCs w:val="24"/>
              </w:rPr>
            </w:pPr>
          </w:p>
          <w:p w14:paraId="78E3E3EE" w14:textId="77777777" w:rsidR="002C77A0" w:rsidRDefault="002C77A0" w:rsidP="007079E9">
            <w:pPr>
              <w:spacing w:after="0" w:line="240" w:lineRule="auto"/>
              <w:rPr>
                <w:rFonts w:ascii="Arial" w:hAnsi="Arial" w:cs="Arial"/>
                <w:sz w:val="24"/>
                <w:szCs w:val="24"/>
              </w:rPr>
            </w:pPr>
          </w:p>
          <w:p w14:paraId="59AC148D" w14:textId="77777777" w:rsidR="002C77A0" w:rsidRDefault="002C77A0" w:rsidP="007079E9">
            <w:pPr>
              <w:spacing w:after="0" w:line="240" w:lineRule="auto"/>
              <w:rPr>
                <w:rFonts w:ascii="Arial" w:hAnsi="Arial" w:cs="Arial"/>
                <w:sz w:val="24"/>
                <w:szCs w:val="24"/>
              </w:rPr>
            </w:pPr>
          </w:p>
          <w:p w14:paraId="399D3F10" w14:textId="77777777" w:rsidR="002C77A0" w:rsidRDefault="002C77A0" w:rsidP="007079E9">
            <w:pPr>
              <w:spacing w:after="0" w:line="240" w:lineRule="auto"/>
              <w:rPr>
                <w:rFonts w:ascii="Arial" w:hAnsi="Arial" w:cs="Arial"/>
                <w:sz w:val="24"/>
                <w:szCs w:val="24"/>
              </w:rPr>
            </w:pPr>
          </w:p>
          <w:p w14:paraId="60891A7C" w14:textId="77777777" w:rsidR="002C77A0" w:rsidRDefault="002C77A0" w:rsidP="007079E9">
            <w:pPr>
              <w:spacing w:after="0" w:line="240" w:lineRule="auto"/>
              <w:rPr>
                <w:rFonts w:ascii="Arial" w:hAnsi="Arial" w:cs="Arial"/>
                <w:sz w:val="24"/>
                <w:szCs w:val="24"/>
              </w:rPr>
            </w:pPr>
          </w:p>
          <w:p w14:paraId="06C9E071" w14:textId="77777777" w:rsidR="002C77A0" w:rsidRDefault="002C77A0" w:rsidP="007079E9">
            <w:pPr>
              <w:spacing w:after="0" w:line="240" w:lineRule="auto"/>
              <w:rPr>
                <w:rFonts w:ascii="Arial" w:hAnsi="Arial" w:cs="Arial"/>
                <w:sz w:val="24"/>
                <w:szCs w:val="24"/>
              </w:rPr>
            </w:pPr>
          </w:p>
          <w:p w14:paraId="09B3F6EB" w14:textId="77777777" w:rsidR="002C77A0" w:rsidRDefault="002C77A0" w:rsidP="007079E9">
            <w:pPr>
              <w:spacing w:after="0" w:line="240" w:lineRule="auto"/>
              <w:rPr>
                <w:rFonts w:ascii="Arial" w:hAnsi="Arial" w:cs="Arial"/>
                <w:sz w:val="24"/>
                <w:szCs w:val="24"/>
              </w:rPr>
            </w:pPr>
          </w:p>
          <w:p w14:paraId="58143AC2" w14:textId="77777777" w:rsidR="002C77A0" w:rsidRDefault="002C77A0" w:rsidP="007079E9">
            <w:pPr>
              <w:spacing w:after="0" w:line="240" w:lineRule="auto"/>
              <w:rPr>
                <w:rFonts w:ascii="Arial" w:hAnsi="Arial" w:cs="Arial"/>
                <w:sz w:val="24"/>
                <w:szCs w:val="24"/>
              </w:rPr>
            </w:pPr>
          </w:p>
          <w:p w14:paraId="1B1F16D2" w14:textId="77777777" w:rsidR="002C77A0" w:rsidRDefault="002C77A0" w:rsidP="007079E9">
            <w:pPr>
              <w:spacing w:after="0" w:line="240" w:lineRule="auto"/>
              <w:rPr>
                <w:rFonts w:ascii="Arial" w:hAnsi="Arial" w:cs="Arial"/>
                <w:sz w:val="24"/>
                <w:szCs w:val="24"/>
              </w:rPr>
            </w:pPr>
          </w:p>
          <w:p w14:paraId="12BB30D0" w14:textId="77777777" w:rsidR="002C77A0" w:rsidRDefault="002C77A0" w:rsidP="007079E9">
            <w:pPr>
              <w:spacing w:after="0" w:line="240" w:lineRule="auto"/>
              <w:rPr>
                <w:rFonts w:ascii="Arial" w:hAnsi="Arial" w:cs="Arial"/>
                <w:sz w:val="24"/>
                <w:szCs w:val="24"/>
              </w:rPr>
            </w:pPr>
          </w:p>
          <w:p w14:paraId="324C49B8" w14:textId="77777777" w:rsidR="002C77A0" w:rsidRDefault="002C77A0" w:rsidP="007079E9">
            <w:pPr>
              <w:spacing w:after="0" w:line="240" w:lineRule="auto"/>
              <w:rPr>
                <w:rFonts w:ascii="Arial" w:hAnsi="Arial" w:cs="Arial"/>
                <w:sz w:val="24"/>
                <w:szCs w:val="24"/>
              </w:rPr>
            </w:pPr>
          </w:p>
          <w:p w14:paraId="33B4ED7D" w14:textId="77777777" w:rsidR="002C77A0" w:rsidRDefault="002C77A0" w:rsidP="007079E9">
            <w:pPr>
              <w:spacing w:after="0" w:line="240" w:lineRule="auto"/>
              <w:rPr>
                <w:rFonts w:ascii="Arial" w:hAnsi="Arial" w:cs="Arial"/>
                <w:sz w:val="24"/>
                <w:szCs w:val="24"/>
              </w:rPr>
            </w:pPr>
          </w:p>
          <w:p w14:paraId="3F079F7D" w14:textId="77777777" w:rsidR="002C77A0" w:rsidRDefault="002C77A0" w:rsidP="007079E9">
            <w:pPr>
              <w:spacing w:after="0" w:line="240" w:lineRule="auto"/>
              <w:rPr>
                <w:rFonts w:ascii="Arial" w:hAnsi="Arial" w:cs="Arial"/>
                <w:sz w:val="24"/>
                <w:szCs w:val="24"/>
              </w:rPr>
            </w:pPr>
          </w:p>
          <w:p w14:paraId="227E5867" w14:textId="77777777" w:rsidR="002C77A0" w:rsidRDefault="002C77A0" w:rsidP="007079E9">
            <w:pPr>
              <w:spacing w:after="0" w:line="240" w:lineRule="auto"/>
              <w:rPr>
                <w:rFonts w:ascii="Arial" w:hAnsi="Arial" w:cs="Arial"/>
                <w:sz w:val="24"/>
                <w:szCs w:val="24"/>
              </w:rPr>
            </w:pPr>
          </w:p>
          <w:p w14:paraId="641220A9" w14:textId="77777777" w:rsidR="002C77A0" w:rsidRDefault="002C77A0" w:rsidP="007079E9">
            <w:pPr>
              <w:spacing w:after="0" w:line="240" w:lineRule="auto"/>
              <w:rPr>
                <w:rFonts w:ascii="Arial" w:hAnsi="Arial" w:cs="Arial"/>
                <w:sz w:val="24"/>
                <w:szCs w:val="24"/>
              </w:rPr>
            </w:pPr>
          </w:p>
          <w:p w14:paraId="267BEAE8" w14:textId="77777777" w:rsidR="002C77A0" w:rsidRDefault="002C77A0" w:rsidP="007079E9">
            <w:pPr>
              <w:spacing w:after="0" w:line="240" w:lineRule="auto"/>
              <w:rPr>
                <w:rFonts w:ascii="Arial" w:hAnsi="Arial" w:cs="Arial"/>
                <w:sz w:val="24"/>
                <w:szCs w:val="24"/>
              </w:rPr>
            </w:pPr>
          </w:p>
          <w:p w14:paraId="7AEF9541" w14:textId="77777777" w:rsidR="002C77A0" w:rsidRDefault="002C77A0" w:rsidP="007079E9">
            <w:pPr>
              <w:spacing w:after="0" w:line="240" w:lineRule="auto"/>
              <w:rPr>
                <w:rFonts w:ascii="Arial" w:hAnsi="Arial" w:cs="Arial"/>
                <w:sz w:val="24"/>
                <w:szCs w:val="24"/>
              </w:rPr>
            </w:pPr>
          </w:p>
          <w:p w14:paraId="543DC9AF" w14:textId="77777777" w:rsidR="002C77A0" w:rsidRDefault="002C77A0" w:rsidP="007079E9">
            <w:pPr>
              <w:spacing w:after="0" w:line="240" w:lineRule="auto"/>
              <w:rPr>
                <w:rFonts w:ascii="Arial" w:hAnsi="Arial" w:cs="Arial"/>
                <w:sz w:val="24"/>
                <w:szCs w:val="24"/>
              </w:rPr>
            </w:pPr>
          </w:p>
          <w:p w14:paraId="616F2E24" w14:textId="77777777" w:rsidR="002C77A0" w:rsidRDefault="002C77A0" w:rsidP="007079E9">
            <w:pPr>
              <w:spacing w:after="0" w:line="240" w:lineRule="auto"/>
              <w:rPr>
                <w:rFonts w:ascii="Arial" w:hAnsi="Arial" w:cs="Arial"/>
                <w:sz w:val="24"/>
                <w:szCs w:val="24"/>
              </w:rPr>
            </w:pPr>
          </w:p>
          <w:p w14:paraId="014A06AE" w14:textId="77777777" w:rsidR="002C77A0" w:rsidRDefault="002C77A0" w:rsidP="007079E9">
            <w:pPr>
              <w:spacing w:after="0" w:line="240" w:lineRule="auto"/>
              <w:rPr>
                <w:rFonts w:ascii="Arial" w:hAnsi="Arial" w:cs="Arial"/>
                <w:sz w:val="24"/>
                <w:szCs w:val="24"/>
              </w:rPr>
            </w:pPr>
          </w:p>
          <w:p w14:paraId="0FEEEE65" w14:textId="77777777" w:rsidR="002C77A0" w:rsidRDefault="002C77A0" w:rsidP="007079E9">
            <w:pPr>
              <w:spacing w:after="0" w:line="240" w:lineRule="auto"/>
              <w:rPr>
                <w:rFonts w:ascii="Arial" w:hAnsi="Arial" w:cs="Arial"/>
                <w:sz w:val="24"/>
                <w:szCs w:val="24"/>
              </w:rPr>
            </w:pPr>
          </w:p>
          <w:p w14:paraId="5C3C6079" w14:textId="77777777" w:rsidR="002C77A0" w:rsidRDefault="002C77A0" w:rsidP="007079E9">
            <w:pPr>
              <w:spacing w:after="0" w:line="240" w:lineRule="auto"/>
              <w:rPr>
                <w:rFonts w:ascii="Arial" w:hAnsi="Arial" w:cs="Arial"/>
                <w:sz w:val="24"/>
                <w:szCs w:val="24"/>
              </w:rPr>
            </w:pPr>
          </w:p>
          <w:p w14:paraId="134DE7C0" w14:textId="77777777" w:rsidR="002C77A0" w:rsidRDefault="002C77A0" w:rsidP="007079E9">
            <w:pPr>
              <w:spacing w:after="0" w:line="240" w:lineRule="auto"/>
              <w:rPr>
                <w:rFonts w:ascii="Arial" w:hAnsi="Arial" w:cs="Arial"/>
                <w:sz w:val="24"/>
                <w:szCs w:val="24"/>
              </w:rPr>
            </w:pPr>
          </w:p>
          <w:p w14:paraId="2EC06E31" w14:textId="77777777" w:rsidR="002C77A0" w:rsidRDefault="002C77A0" w:rsidP="007079E9">
            <w:pPr>
              <w:spacing w:after="0" w:line="240" w:lineRule="auto"/>
              <w:rPr>
                <w:rFonts w:ascii="Arial" w:hAnsi="Arial" w:cs="Arial"/>
                <w:sz w:val="24"/>
                <w:szCs w:val="24"/>
              </w:rPr>
            </w:pPr>
          </w:p>
          <w:p w14:paraId="2750258B" w14:textId="77777777" w:rsidR="002C77A0" w:rsidRDefault="002C77A0" w:rsidP="007079E9">
            <w:pPr>
              <w:spacing w:after="0" w:line="240" w:lineRule="auto"/>
              <w:rPr>
                <w:rFonts w:ascii="Arial" w:hAnsi="Arial" w:cs="Arial"/>
                <w:sz w:val="24"/>
                <w:szCs w:val="24"/>
              </w:rPr>
            </w:pPr>
          </w:p>
          <w:p w14:paraId="48BD13DF" w14:textId="77777777" w:rsidR="002C77A0" w:rsidRDefault="002C77A0" w:rsidP="007079E9">
            <w:pPr>
              <w:spacing w:after="0" w:line="240" w:lineRule="auto"/>
              <w:rPr>
                <w:rFonts w:ascii="Arial" w:hAnsi="Arial" w:cs="Arial"/>
                <w:sz w:val="24"/>
                <w:szCs w:val="24"/>
              </w:rPr>
            </w:pPr>
          </w:p>
          <w:p w14:paraId="18B02BB4" w14:textId="77777777" w:rsidR="002C77A0" w:rsidRDefault="002C77A0" w:rsidP="007079E9">
            <w:pPr>
              <w:spacing w:after="0" w:line="240" w:lineRule="auto"/>
              <w:rPr>
                <w:rFonts w:ascii="Arial" w:hAnsi="Arial" w:cs="Arial"/>
                <w:sz w:val="24"/>
                <w:szCs w:val="24"/>
              </w:rPr>
            </w:pPr>
          </w:p>
          <w:p w14:paraId="39895C20" w14:textId="77777777" w:rsidR="002C77A0" w:rsidRDefault="002C77A0" w:rsidP="007079E9">
            <w:pPr>
              <w:spacing w:after="0" w:line="240" w:lineRule="auto"/>
              <w:rPr>
                <w:rFonts w:ascii="Arial" w:hAnsi="Arial" w:cs="Arial"/>
                <w:sz w:val="24"/>
                <w:szCs w:val="24"/>
              </w:rPr>
            </w:pPr>
          </w:p>
          <w:p w14:paraId="65A01941" w14:textId="77777777" w:rsidR="002C77A0" w:rsidRDefault="002C77A0" w:rsidP="007079E9">
            <w:pPr>
              <w:spacing w:after="0" w:line="240" w:lineRule="auto"/>
              <w:rPr>
                <w:rFonts w:ascii="Arial" w:hAnsi="Arial" w:cs="Arial"/>
                <w:sz w:val="24"/>
                <w:szCs w:val="24"/>
              </w:rPr>
            </w:pPr>
          </w:p>
          <w:p w14:paraId="49F5C674" w14:textId="77777777" w:rsidR="002C77A0" w:rsidRDefault="002C77A0" w:rsidP="007079E9">
            <w:pPr>
              <w:spacing w:after="0" w:line="240" w:lineRule="auto"/>
              <w:rPr>
                <w:rFonts w:ascii="Arial" w:hAnsi="Arial" w:cs="Arial"/>
                <w:sz w:val="24"/>
                <w:szCs w:val="24"/>
              </w:rPr>
            </w:pPr>
          </w:p>
          <w:p w14:paraId="74CB22EF" w14:textId="77777777" w:rsidR="002C77A0" w:rsidRDefault="002C77A0" w:rsidP="007079E9">
            <w:pPr>
              <w:spacing w:after="0" w:line="240" w:lineRule="auto"/>
              <w:rPr>
                <w:rFonts w:ascii="Arial" w:hAnsi="Arial" w:cs="Arial"/>
                <w:sz w:val="24"/>
                <w:szCs w:val="24"/>
              </w:rPr>
            </w:pPr>
          </w:p>
          <w:p w14:paraId="30082003" w14:textId="77777777" w:rsidR="002C77A0" w:rsidRDefault="002C77A0" w:rsidP="007079E9">
            <w:pPr>
              <w:spacing w:after="0" w:line="240" w:lineRule="auto"/>
              <w:rPr>
                <w:rFonts w:ascii="Arial" w:hAnsi="Arial" w:cs="Arial"/>
                <w:sz w:val="24"/>
                <w:szCs w:val="24"/>
              </w:rPr>
            </w:pPr>
          </w:p>
          <w:p w14:paraId="42C0F03A" w14:textId="77777777" w:rsidR="002C77A0" w:rsidRDefault="002C77A0" w:rsidP="007079E9">
            <w:pPr>
              <w:spacing w:after="0" w:line="240" w:lineRule="auto"/>
              <w:rPr>
                <w:rFonts w:ascii="Arial" w:hAnsi="Arial" w:cs="Arial"/>
                <w:sz w:val="24"/>
                <w:szCs w:val="24"/>
              </w:rPr>
            </w:pPr>
          </w:p>
          <w:p w14:paraId="7ECCB270" w14:textId="77777777" w:rsidR="002C77A0" w:rsidRDefault="002C77A0" w:rsidP="007079E9">
            <w:pPr>
              <w:spacing w:after="0" w:line="240" w:lineRule="auto"/>
              <w:rPr>
                <w:rFonts w:ascii="Arial" w:hAnsi="Arial" w:cs="Arial"/>
                <w:sz w:val="24"/>
                <w:szCs w:val="24"/>
              </w:rPr>
            </w:pPr>
          </w:p>
          <w:p w14:paraId="0DE67CEF" w14:textId="77777777" w:rsidR="002C77A0" w:rsidRDefault="002C77A0" w:rsidP="007079E9">
            <w:pPr>
              <w:spacing w:after="0" w:line="240" w:lineRule="auto"/>
              <w:rPr>
                <w:rFonts w:ascii="Arial" w:hAnsi="Arial" w:cs="Arial"/>
                <w:sz w:val="24"/>
                <w:szCs w:val="24"/>
              </w:rPr>
            </w:pPr>
          </w:p>
          <w:p w14:paraId="5E53953E" w14:textId="77777777" w:rsidR="002C77A0" w:rsidRDefault="002C77A0" w:rsidP="007079E9">
            <w:pPr>
              <w:spacing w:after="0" w:line="240" w:lineRule="auto"/>
              <w:rPr>
                <w:rFonts w:ascii="Arial" w:hAnsi="Arial" w:cs="Arial"/>
                <w:sz w:val="24"/>
                <w:szCs w:val="24"/>
              </w:rPr>
            </w:pPr>
          </w:p>
          <w:p w14:paraId="4791631C" w14:textId="77777777" w:rsidR="002C77A0" w:rsidRDefault="002C77A0" w:rsidP="007079E9">
            <w:pPr>
              <w:spacing w:after="0" w:line="240" w:lineRule="auto"/>
              <w:rPr>
                <w:rFonts w:ascii="Arial" w:hAnsi="Arial" w:cs="Arial"/>
                <w:sz w:val="24"/>
                <w:szCs w:val="24"/>
              </w:rPr>
            </w:pPr>
          </w:p>
          <w:p w14:paraId="2F93FF1E" w14:textId="77777777" w:rsidR="002C77A0" w:rsidRDefault="002C77A0" w:rsidP="007079E9">
            <w:pPr>
              <w:spacing w:after="0" w:line="240" w:lineRule="auto"/>
              <w:rPr>
                <w:rFonts w:ascii="Arial" w:hAnsi="Arial" w:cs="Arial"/>
                <w:sz w:val="24"/>
                <w:szCs w:val="24"/>
              </w:rPr>
            </w:pPr>
          </w:p>
          <w:p w14:paraId="5BAEE27C" w14:textId="77777777" w:rsidR="002C77A0" w:rsidRDefault="002C77A0" w:rsidP="007079E9">
            <w:pPr>
              <w:spacing w:after="0" w:line="240" w:lineRule="auto"/>
              <w:rPr>
                <w:rFonts w:ascii="Arial" w:hAnsi="Arial" w:cs="Arial"/>
                <w:sz w:val="24"/>
                <w:szCs w:val="24"/>
              </w:rPr>
            </w:pPr>
          </w:p>
          <w:p w14:paraId="5F339EEA" w14:textId="77777777" w:rsidR="002C77A0" w:rsidRDefault="002C77A0" w:rsidP="007079E9">
            <w:pPr>
              <w:spacing w:after="0" w:line="240" w:lineRule="auto"/>
              <w:rPr>
                <w:rFonts w:ascii="Arial" w:hAnsi="Arial" w:cs="Arial"/>
                <w:sz w:val="24"/>
                <w:szCs w:val="24"/>
              </w:rPr>
            </w:pPr>
          </w:p>
          <w:p w14:paraId="5A64581D" w14:textId="77777777" w:rsidR="002C77A0" w:rsidRDefault="002C77A0" w:rsidP="007079E9">
            <w:pPr>
              <w:spacing w:after="0" w:line="240" w:lineRule="auto"/>
              <w:rPr>
                <w:rFonts w:ascii="Arial" w:hAnsi="Arial" w:cs="Arial"/>
                <w:sz w:val="24"/>
                <w:szCs w:val="24"/>
              </w:rPr>
            </w:pPr>
          </w:p>
          <w:p w14:paraId="569539F5" w14:textId="25992BCC" w:rsidR="002C77A0" w:rsidRDefault="002C77A0" w:rsidP="007079E9">
            <w:pPr>
              <w:spacing w:after="0" w:line="240" w:lineRule="auto"/>
              <w:rPr>
                <w:rFonts w:ascii="Arial" w:hAnsi="Arial" w:cs="Arial"/>
                <w:sz w:val="24"/>
                <w:szCs w:val="24"/>
              </w:rPr>
            </w:pPr>
          </w:p>
          <w:p w14:paraId="0773DA60" w14:textId="77777777" w:rsidR="009F5AAA" w:rsidRDefault="009F5AAA" w:rsidP="007079E9">
            <w:pPr>
              <w:spacing w:after="0" w:line="240" w:lineRule="auto"/>
              <w:rPr>
                <w:rFonts w:ascii="Arial" w:hAnsi="Arial" w:cs="Arial"/>
                <w:sz w:val="24"/>
                <w:szCs w:val="24"/>
              </w:rPr>
            </w:pPr>
          </w:p>
          <w:p w14:paraId="033F9DCD" w14:textId="77777777" w:rsidR="009F5AAA" w:rsidRDefault="009F5AAA" w:rsidP="007079E9">
            <w:pPr>
              <w:spacing w:after="0" w:line="240" w:lineRule="auto"/>
              <w:rPr>
                <w:rFonts w:ascii="Arial" w:hAnsi="Arial" w:cs="Arial"/>
                <w:sz w:val="24"/>
                <w:szCs w:val="24"/>
              </w:rPr>
            </w:pPr>
          </w:p>
          <w:p w14:paraId="104792E3" w14:textId="77777777" w:rsidR="009F5AAA" w:rsidRDefault="009F5AAA" w:rsidP="007079E9">
            <w:pPr>
              <w:spacing w:after="0" w:line="240" w:lineRule="auto"/>
              <w:rPr>
                <w:rFonts w:ascii="Arial" w:hAnsi="Arial" w:cs="Arial"/>
                <w:sz w:val="24"/>
                <w:szCs w:val="24"/>
              </w:rPr>
            </w:pPr>
          </w:p>
          <w:p w14:paraId="75E7BC63" w14:textId="77777777" w:rsidR="009F5AAA" w:rsidRDefault="009F5AAA" w:rsidP="007079E9">
            <w:pPr>
              <w:spacing w:after="0" w:line="240" w:lineRule="auto"/>
              <w:rPr>
                <w:rFonts w:ascii="Arial" w:hAnsi="Arial" w:cs="Arial"/>
                <w:sz w:val="24"/>
                <w:szCs w:val="24"/>
              </w:rPr>
            </w:pPr>
          </w:p>
          <w:p w14:paraId="7F5723F5" w14:textId="77777777" w:rsidR="009F5AAA" w:rsidRDefault="009F5AAA" w:rsidP="007079E9">
            <w:pPr>
              <w:spacing w:after="0" w:line="240" w:lineRule="auto"/>
              <w:rPr>
                <w:rFonts w:ascii="Arial" w:hAnsi="Arial" w:cs="Arial"/>
                <w:sz w:val="24"/>
                <w:szCs w:val="24"/>
              </w:rPr>
            </w:pPr>
          </w:p>
          <w:p w14:paraId="4B2DD1F6" w14:textId="77777777" w:rsidR="009F5AAA" w:rsidRDefault="009F5AAA" w:rsidP="007079E9">
            <w:pPr>
              <w:spacing w:after="0" w:line="240" w:lineRule="auto"/>
              <w:rPr>
                <w:rFonts w:ascii="Arial" w:hAnsi="Arial" w:cs="Arial"/>
                <w:sz w:val="24"/>
                <w:szCs w:val="24"/>
              </w:rPr>
            </w:pPr>
          </w:p>
          <w:p w14:paraId="2920D992" w14:textId="77777777" w:rsidR="009F5AAA" w:rsidRDefault="009F5AAA" w:rsidP="007079E9">
            <w:pPr>
              <w:spacing w:after="0" w:line="240" w:lineRule="auto"/>
              <w:rPr>
                <w:rFonts w:ascii="Arial" w:hAnsi="Arial" w:cs="Arial"/>
                <w:sz w:val="24"/>
                <w:szCs w:val="24"/>
              </w:rPr>
            </w:pPr>
          </w:p>
          <w:p w14:paraId="0E1FF6AB" w14:textId="77777777" w:rsidR="009F5AAA" w:rsidRDefault="009F5AAA" w:rsidP="007079E9">
            <w:pPr>
              <w:spacing w:after="0" w:line="240" w:lineRule="auto"/>
              <w:rPr>
                <w:rFonts w:ascii="Arial" w:hAnsi="Arial" w:cs="Arial"/>
                <w:sz w:val="24"/>
                <w:szCs w:val="24"/>
              </w:rPr>
            </w:pPr>
          </w:p>
          <w:p w14:paraId="60ED19B4" w14:textId="77777777" w:rsidR="009F5AAA" w:rsidRDefault="009F5AAA" w:rsidP="007079E9">
            <w:pPr>
              <w:spacing w:after="0" w:line="240" w:lineRule="auto"/>
              <w:rPr>
                <w:rFonts w:ascii="Arial" w:hAnsi="Arial" w:cs="Arial"/>
                <w:sz w:val="24"/>
                <w:szCs w:val="24"/>
              </w:rPr>
            </w:pPr>
          </w:p>
          <w:p w14:paraId="2F6E663E" w14:textId="77777777" w:rsidR="009F5AAA" w:rsidRDefault="009F5AAA" w:rsidP="007079E9">
            <w:pPr>
              <w:spacing w:after="0" w:line="240" w:lineRule="auto"/>
              <w:rPr>
                <w:rFonts w:ascii="Arial" w:hAnsi="Arial" w:cs="Arial"/>
                <w:sz w:val="24"/>
                <w:szCs w:val="24"/>
              </w:rPr>
            </w:pPr>
          </w:p>
          <w:p w14:paraId="144644CA" w14:textId="77777777" w:rsidR="009F5AAA" w:rsidRDefault="009F5AAA" w:rsidP="007079E9">
            <w:pPr>
              <w:spacing w:after="0" w:line="240" w:lineRule="auto"/>
              <w:rPr>
                <w:rFonts w:ascii="Arial" w:hAnsi="Arial" w:cs="Arial"/>
                <w:sz w:val="24"/>
                <w:szCs w:val="24"/>
              </w:rPr>
            </w:pPr>
          </w:p>
          <w:p w14:paraId="65EA3833" w14:textId="77777777" w:rsidR="009F5AAA" w:rsidRDefault="009F5AAA" w:rsidP="007079E9">
            <w:pPr>
              <w:spacing w:after="0" w:line="240" w:lineRule="auto"/>
              <w:rPr>
                <w:rFonts w:ascii="Arial" w:hAnsi="Arial" w:cs="Arial"/>
                <w:sz w:val="24"/>
                <w:szCs w:val="24"/>
              </w:rPr>
            </w:pPr>
          </w:p>
          <w:p w14:paraId="361F7312" w14:textId="77777777" w:rsidR="009F5AAA" w:rsidRDefault="009F5AAA" w:rsidP="007079E9">
            <w:pPr>
              <w:spacing w:after="0" w:line="240" w:lineRule="auto"/>
              <w:rPr>
                <w:rFonts w:ascii="Arial" w:hAnsi="Arial" w:cs="Arial"/>
                <w:sz w:val="24"/>
                <w:szCs w:val="24"/>
              </w:rPr>
            </w:pPr>
          </w:p>
          <w:p w14:paraId="3EC048D6" w14:textId="77777777" w:rsidR="009F5AAA" w:rsidRDefault="009F5AAA" w:rsidP="007079E9">
            <w:pPr>
              <w:spacing w:after="0" w:line="240" w:lineRule="auto"/>
              <w:rPr>
                <w:rFonts w:ascii="Arial" w:hAnsi="Arial" w:cs="Arial"/>
                <w:sz w:val="24"/>
                <w:szCs w:val="24"/>
              </w:rPr>
            </w:pPr>
          </w:p>
          <w:p w14:paraId="19543756" w14:textId="77777777" w:rsidR="009F5AAA" w:rsidRDefault="009F5AAA" w:rsidP="007079E9">
            <w:pPr>
              <w:spacing w:after="0" w:line="240" w:lineRule="auto"/>
              <w:rPr>
                <w:rFonts w:ascii="Arial" w:hAnsi="Arial" w:cs="Arial"/>
                <w:sz w:val="24"/>
                <w:szCs w:val="24"/>
              </w:rPr>
            </w:pPr>
          </w:p>
          <w:p w14:paraId="5958072B" w14:textId="77777777" w:rsidR="009F5AAA" w:rsidRDefault="009F5AAA" w:rsidP="007079E9">
            <w:pPr>
              <w:spacing w:after="0" w:line="240" w:lineRule="auto"/>
              <w:rPr>
                <w:rFonts w:ascii="Arial" w:hAnsi="Arial" w:cs="Arial"/>
                <w:sz w:val="24"/>
                <w:szCs w:val="24"/>
              </w:rPr>
            </w:pPr>
          </w:p>
          <w:p w14:paraId="2CCFE46B" w14:textId="77777777" w:rsidR="009F5AAA" w:rsidRDefault="009F5AAA" w:rsidP="007079E9">
            <w:pPr>
              <w:spacing w:after="0" w:line="240" w:lineRule="auto"/>
              <w:rPr>
                <w:rFonts w:ascii="Arial" w:hAnsi="Arial" w:cs="Arial"/>
                <w:sz w:val="24"/>
                <w:szCs w:val="24"/>
              </w:rPr>
            </w:pPr>
          </w:p>
          <w:p w14:paraId="00A9E4DE" w14:textId="77777777" w:rsidR="009F5AAA" w:rsidRDefault="009F5AAA" w:rsidP="007079E9">
            <w:pPr>
              <w:spacing w:after="0" w:line="240" w:lineRule="auto"/>
              <w:rPr>
                <w:rFonts w:ascii="Arial" w:hAnsi="Arial" w:cs="Arial"/>
                <w:sz w:val="24"/>
                <w:szCs w:val="24"/>
              </w:rPr>
            </w:pPr>
          </w:p>
          <w:p w14:paraId="5CD0F359" w14:textId="77777777" w:rsidR="009F5AAA" w:rsidRDefault="009F5AAA" w:rsidP="007079E9">
            <w:pPr>
              <w:spacing w:after="0" w:line="240" w:lineRule="auto"/>
              <w:rPr>
                <w:rFonts w:ascii="Arial" w:hAnsi="Arial" w:cs="Arial"/>
                <w:sz w:val="24"/>
                <w:szCs w:val="24"/>
              </w:rPr>
            </w:pPr>
          </w:p>
          <w:p w14:paraId="492ADDBD" w14:textId="77777777" w:rsidR="009F5AAA" w:rsidRDefault="009F5AAA" w:rsidP="007079E9">
            <w:pPr>
              <w:spacing w:after="0" w:line="240" w:lineRule="auto"/>
              <w:rPr>
                <w:rFonts w:ascii="Arial" w:hAnsi="Arial" w:cs="Arial"/>
                <w:sz w:val="24"/>
                <w:szCs w:val="24"/>
              </w:rPr>
            </w:pPr>
          </w:p>
          <w:p w14:paraId="107EC066" w14:textId="77777777" w:rsidR="009F5AAA" w:rsidRDefault="009F5AAA" w:rsidP="007079E9">
            <w:pPr>
              <w:spacing w:after="0" w:line="240" w:lineRule="auto"/>
              <w:rPr>
                <w:rFonts w:ascii="Arial" w:hAnsi="Arial" w:cs="Arial"/>
                <w:sz w:val="24"/>
                <w:szCs w:val="24"/>
              </w:rPr>
            </w:pPr>
          </w:p>
          <w:p w14:paraId="64F26851" w14:textId="77777777" w:rsidR="009F5AAA" w:rsidRDefault="009F5AAA" w:rsidP="007079E9">
            <w:pPr>
              <w:spacing w:after="0" w:line="240" w:lineRule="auto"/>
              <w:rPr>
                <w:rFonts w:ascii="Arial" w:hAnsi="Arial" w:cs="Arial"/>
                <w:sz w:val="24"/>
                <w:szCs w:val="24"/>
              </w:rPr>
            </w:pPr>
          </w:p>
          <w:p w14:paraId="7A4D4DF1" w14:textId="77777777" w:rsidR="009F5AAA" w:rsidRDefault="009F5AAA" w:rsidP="007079E9">
            <w:pPr>
              <w:spacing w:after="0" w:line="240" w:lineRule="auto"/>
              <w:rPr>
                <w:rFonts w:ascii="Arial" w:hAnsi="Arial" w:cs="Arial"/>
                <w:sz w:val="24"/>
                <w:szCs w:val="24"/>
              </w:rPr>
            </w:pPr>
          </w:p>
          <w:p w14:paraId="4ED75E85" w14:textId="77777777" w:rsidR="009F5AAA" w:rsidRDefault="009F5AAA" w:rsidP="007079E9">
            <w:pPr>
              <w:spacing w:after="0" w:line="240" w:lineRule="auto"/>
              <w:rPr>
                <w:rFonts w:ascii="Arial" w:hAnsi="Arial" w:cs="Arial"/>
                <w:sz w:val="24"/>
                <w:szCs w:val="24"/>
              </w:rPr>
            </w:pPr>
          </w:p>
          <w:p w14:paraId="5CEDFFEC" w14:textId="77777777" w:rsidR="009F5AAA" w:rsidRDefault="009F5AAA" w:rsidP="007079E9">
            <w:pPr>
              <w:spacing w:after="0" w:line="240" w:lineRule="auto"/>
              <w:rPr>
                <w:rFonts w:ascii="Arial" w:hAnsi="Arial" w:cs="Arial"/>
                <w:sz w:val="24"/>
                <w:szCs w:val="24"/>
              </w:rPr>
            </w:pPr>
          </w:p>
          <w:p w14:paraId="10FC8A8F" w14:textId="77777777" w:rsidR="009F5AAA" w:rsidRDefault="009F5AAA" w:rsidP="007079E9">
            <w:pPr>
              <w:spacing w:after="0" w:line="240" w:lineRule="auto"/>
              <w:rPr>
                <w:rFonts w:ascii="Arial" w:hAnsi="Arial" w:cs="Arial"/>
                <w:sz w:val="24"/>
                <w:szCs w:val="24"/>
              </w:rPr>
            </w:pPr>
          </w:p>
          <w:p w14:paraId="030C75EB" w14:textId="77777777" w:rsidR="00E503C8" w:rsidRDefault="00E503C8" w:rsidP="007079E9">
            <w:pPr>
              <w:spacing w:after="0" w:line="240" w:lineRule="auto"/>
              <w:rPr>
                <w:rFonts w:ascii="Arial" w:hAnsi="Arial" w:cs="Arial"/>
                <w:sz w:val="24"/>
                <w:szCs w:val="24"/>
              </w:rPr>
            </w:pPr>
          </w:p>
          <w:p w14:paraId="79E1DC5B" w14:textId="77777777" w:rsidR="00E503C8" w:rsidRDefault="00E503C8" w:rsidP="007079E9">
            <w:pPr>
              <w:spacing w:after="0" w:line="240" w:lineRule="auto"/>
              <w:rPr>
                <w:rFonts w:ascii="Arial" w:hAnsi="Arial" w:cs="Arial"/>
                <w:sz w:val="24"/>
                <w:szCs w:val="24"/>
              </w:rPr>
            </w:pPr>
          </w:p>
          <w:p w14:paraId="7F55BC76" w14:textId="77777777" w:rsidR="00E503C8" w:rsidRDefault="00E503C8" w:rsidP="007079E9">
            <w:pPr>
              <w:spacing w:after="0" w:line="240" w:lineRule="auto"/>
              <w:rPr>
                <w:rFonts w:ascii="Arial" w:hAnsi="Arial" w:cs="Arial"/>
                <w:sz w:val="24"/>
                <w:szCs w:val="24"/>
              </w:rPr>
            </w:pPr>
          </w:p>
          <w:p w14:paraId="0B93E727" w14:textId="77777777" w:rsidR="00E503C8" w:rsidRDefault="00E503C8" w:rsidP="007079E9">
            <w:pPr>
              <w:spacing w:after="0" w:line="240" w:lineRule="auto"/>
              <w:rPr>
                <w:rFonts w:ascii="Arial" w:hAnsi="Arial" w:cs="Arial"/>
                <w:sz w:val="24"/>
                <w:szCs w:val="24"/>
              </w:rPr>
            </w:pPr>
          </w:p>
          <w:p w14:paraId="51F617B6" w14:textId="77777777" w:rsidR="00E503C8" w:rsidRDefault="00E503C8" w:rsidP="007079E9">
            <w:pPr>
              <w:spacing w:after="0" w:line="240" w:lineRule="auto"/>
              <w:rPr>
                <w:rFonts w:ascii="Arial" w:hAnsi="Arial" w:cs="Arial"/>
                <w:sz w:val="24"/>
                <w:szCs w:val="24"/>
              </w:rPr>
            </w:pPr>
          </w:p>
          <w:p w14:paraId="1DD44EB9" w14:textId="77777777" w:rsidR="00E503C8" w:rsidRDefault="00E503C8" w:rsidP="007079E9">
            <w:pPr>
              <w:spacing w:after="0" w:line="240" w:lineRule="auto"/>
              <w:rPr>
                <w:rFonts w:ascii="Arial" w:hAnsi="Arial" w:cs="Arial"/>
                <w:sz w:val="24"/>
                <w:szCs w:val="24"/>
              </w:rPr>
            </w:pPr>
          </w:p>
          <w:p w14:paraId="57D17AF5" w14:textId="77777777" w:rsidR="00E503C8" w:rsidRDefault="00E503C8" w:rsidP="007079E9">
            <w:pPr>
              <w:spacing w:after="0" w:line="240" w:lineRule="auto"/>
              <w:rPr>
                <w:rFonts w:ascii="Arial" w:hAnsi="Arial" w:cs="Arial"/>
                <w:sz w:val="24"/>
                <w:szCs w:val="24"/>
              </w:rPr>
            </w:pPr>
          </w:p>
          <w:p w14:paraId="77501331" w14:textId="77777777" w:rsidR="00E503C8" w:rsidRDefault="00E503C8" w:rsidP="007079E9">
            <w:pPr>
              <w:spacing w:after="0" w:line="240" w:lineRule="auto"/>
              <w:rPr>
                <w:rFonts w:ascii="Arial" w:hAnsi="Arial" w:cs="Arial"/>
                <w:sz w:val="24"/>
                <w:szCs w:val="24"/>
              </w:rPr>
            </w:pPr>
          </w:p>
          <w:p w14:paraId="6C927BB3" w14:textId="77777777" w:rsidR="00E503C8" w:rsidRDefault="00E503C8" w:rsidP="007079E9">
            <w:pPr>
              <w:spacing w:after="0" w:line="240" w:lineRule="auto"/>
              <w:rPr>
                <w:rFonts w:ascii="Arial" w:hAnsi="Arial" w:cs="Arial"/>
                <w:sz w:val="24"/>
                <w:szCs w:val="24"/>
              </w:rPr>
            </w:pPr>
          </w:p>
          <w:p w14:paraId="0652B591" w14:textId="77777777" w:rsidR="00E503C8" w:rsidRDefault="00E503C8" w:rsidP="007079E9">
            <w:pPr>
              <w:spacing w:after="0" w:line="240" w:lineRule="auto"/>
              <w:rPr>
                <w:rFonts w:ascii="Arial" w:hAnsi="Arial" w:cs="Arial"/>
                <w:sz w:val="24"/>
                <w:szCs w:val="24"/>
              </w:rPr>
            </w:pPr>
          </w:p>
          <w:p w14:paraId="2545D3A9" w14:textId="77777777" w:rsidR="00E503C8" w:rsidRDefault="00E503C8" w:rsidP="007079E9">
            <w:pPr>
              <w:spacing w:after="0" w:line="240" w:lineRule="auto"/>
              <w:rPr>
                <w:rFonts w:ascii="Arial" w:hAnsi="Arial" w:cs="Arial"/>
                <w:sz w:val="24"/>
                <w:szCs w:val="24"/>
              </w:rPr>
            </w:pPr>
          </w:p>
          <w:p w14:paraId="5C8FDDC2" w14:textId="77777777" w:rsidR="00E503C8" w:rsidRDefault="00E503C8" w:rsidP="007079E9">
            <w:pPr>
              <w:spacing w:after="0" w:line="240" w:lineRule="auto"/>
              <w:rPr>
                <w:rFonts w:ascii="Arial" w:hAnsi="Arial" w:cs="Arial"/>
                <w:sz w:val="24"/>
                <w:szCs w:val="24"/>
              </w:rPr>
            </w:pPr>
          </w:p>
          <w:p w14:paraId="7922E578" w14:textId="77777777" w:rsidR="00E503C8" w:rsidRDefault="00E503C8" w:rsidP="007079E9">
            <w:pPr>
              <w:spacing w:after="0" w:line="240" w:lineRule="auto"/>
              <w:rPr>
                <w:rFonts w:ascii="Arial" w:hAnsi="Arial" w:cs="Arial"/>
                <w:sz w:val="24"/>
                <w:szCs w:val="24"/>
              </w:rPr>
            </w:pPr>
          </w:p>
          <w:p w14:paraId="45C706A7" w14:textId="77777777" w:rsidR="00E503C8" w:rsidRDefault="00E503C8" w:rsidP="007079E9">
            <w:pPr>
              <w:spacing w:after="0" w:line="240" w:lineRule="auto"/>
              <w:rPr>
                <w:rFonts w:ascii="Arial" w:hAnsi="Arial" w:cs="Arial"/>
                <w:sz w:val="24"/>
                <w:szCs w:val="24"/>
              </w:rPr>
            </w:pPr>
          </w:p>
          <w:p w14:paraId="4C1BE8A5" w14:textId="77777777" w:rsidR="00E503C8" w:rsidRDefault="00E503C8" w:rsidP="007079E9">
            <w:pPr>
              <w:spacing w:after="0" w:line="240" w:lineRule="auto"/>
              <w:rPr>
                <w:rFonts w:ascii="Arial" w:hAnsi="Arial" w:cs="Arial"/>
                <w:sz w:val="24"/>
                <w:szCs w:val="24"/>
              </w:rPr>
            </w:pPr>
          </w:p>
          <w:p w14:paraId="00E28D2D" w14:textId="77777777" w:rsidR="00E503C8" w:rsidRDefault="00E503C8" w:rsidP="007079E9">
            <w:pPr>
              <w:spacing w:after="0" w:line="240" w:lineRule="auto"/>
              <w:rPr>
                <w:rFonts w:ascii="Arial" w:hAnsi="Arial" w:cs="Arial"/>
                <w:sz w:val="24"/>
                <w:szCs w:val="24"/>
              </w:rPr>
            </w:pPr>
          </w:p>
          <w:p w14:paraId="7A5B3990" w14:textId="77777777" w:rsidR="00E503C8" w:rsidRDefault="00E503C8" w:rsidP="007079E9">
            <w:pPr>
              <w:spacing w:after="0" w:line="240" w:lineRule="auto"/>
              <w:rPr>
                <w:rFonts w:ascii="Arial" w:hAnsi="Arial" w:cs="Arial"/>
                <w:sz w:val="24"/>
                <w:szCs w:val="24"/>
              </w:rPr>
            </w:pPr>
          </w:p>
          <w:p w14:paraId="0C1C1AA1" w14:textId="77777777" w:rsidR="00E503C8" w:rsidRDefault="00E503C8" w:rsidP="007079E9">
            <w:pPr>
              <w:spacing w:after="0" w:line="240" w:lineRule="auto"/>
              <w:rPr>
                <w:rFonts w:ascii="Arial" w:hAnsi="Arial" w:cs="Arial"/>
                <w:sz w:val="24"/>
                <w:szCs w:val="24"/>
              </w:rPr>
            </w:pPr>
          </w:p>
          <w:p w14:paraId="195A218C" w14:textId="77777777" w:rsidR="00E503C8" w:rsidRDefault="00E503C8" w:rsidP="007079E9">
            <w:pPr>
              <w:spacing w:after="0" w:line="240" w:lineRule="auto"/>
              <w:rPr>
                <w:rFonts w:ascii="Arial" w:hAnsi="Arial" w:cs="Arial"/>
                <w:sz w:val="24"/>
                <w:szCs w:val="24"/>
              </w:rPr>
            </w:pPr>
          </w:p>
          <w:p w14:paraId="3E7245C1" w14:textId="77777777" w:rsidR="00E31B5F" w:rsidRDefault="00E31B5F" w:rsidP="007079E9">
            <w:pPr>
              <w:spacing w:after="0" w:line="240" w:lineRule="auto"/>
              <w:rPr>
                <w:rFonts w:ascii="Arial" w:hAnsi="Arial" w:cs="Arial"/>
                <w:sz w:val="24"/>
                <w:szCs w:val="24"/>
              </w:rPr>
            </w:pPr>
          </w:p>
          <w:p w14:paraId="096FDB37" w14:textId="77777777" w:rsidR="00E503C8" w:rsidRDefault="00E503C8" w:rsidP="007079E9">
            <w:pPr>
              <w:spacing w:after="0" w:line="240" w:lineRule="auto"/>
              <w:rPr>
                <w:rFonts w:ascii="Arial" w:hAnsi="Arial" w:cs="Arial"/>
                <w:sz w:val="24"/>
                <w:szCs w:val="24"/>
              </w:rPr>
            </w:pPr>
          </w:p>
          <w:p w14:paraId="72B69B01" w14:textId="77777777" w:rsidR="00E503C8" w:rsidRDefault="00E503C8" w:rsidP="007079E9">
            <w:pPr>
              <w:spacing w:after="0" w:line="240" w:lineRule="auto"/>
              <w:rPr>
                <w:rFonts w:ascii="Arial" w:hAnsi="Arial" w:cs="Arial"/>
                <w:sz w:val="24"/>
                <w:szCs w:val="24"/>
              </w:rPr>
            </w:pPr>
          </w:p>
          <w:p w14:paraId="0031FD9E" w14:textId="77777777" w:rsidR="00EC5441" w:rsidRDefault="00EC5441" w:rsidP="007079E9">
            <w:pPr>
              <w:spacing w:after="0" w:line="240" w:lineRule="auto"/>
              <w:rPr>
                <w:rFonts w:ascii="Arial" w:hAnsi="Arial" w:cs="Arial"/>
                <w:sz w:val="24"/>
                <w:szCs w:val="24"/>
              </w:rPr>
            </w:pPr>
          </w:p>
          <w:p w14:paraId="6A10FA6E" w14:textId="1EDF041D" w:rsidR="000167AE" w:rsidRDefault="000167AE" w:rsidP="000167AE">
            <w:pPr>
              <w:spacing w:after="0" w:line="240" w:lineRule="auto"/>
              <w:rPr>
                <w:rFonts w:ascii="Arial" w:hAnsi="Arial" w:cs="Arial"/>
                <w:sz w:val="24"/>
                <w:szCs w:val="24"/>
              </w:rPr>
            </w:pPr>
            <w:r>
              <w:rPr>
                <w:rFonts w:ascii="Arial" w:hAnsi="Arial" w:cs="Arial"/>
                <w:sz w:val="24"/>
                <w:szCs w:val="24"/>
              </w:rPr>
              <w:t>4.12</w:t>
            </w:r>
          </w:p>
          <w:p w14:paraId="7D9F57E4" w14:textId="441EF03E" w:rsidR="000167AE" w:rsidRDefault="000167AE" w:rsidP="007079E9">
            <w:pPr>
              <w:spacing w:after="0" w:line="240" w:lineRule="auto"/>
              <w:rPr>
                <w:rFonts w:ascii="Arial" w:hAnsi="Arial" w:cs="Arial"/>
                <w:sz w:val="24"/>
                <w:szCs w:val="24"/>
              </w:rPr>
            </w:pPr>
          </w:p>
          <w:p w14:paraId="59A8F428" w14:textId="77777777" w:rsidR="000167AE" w:rsidRDefault="000167AE" w:rsidP="007079E9">
            <w:pPr>
              <w:spacing w:after="0" w:line="240" w:lineRule="auto"/>
              <w:rPr>
                <w:rFonts w:ascii="Arial" w:hAnsi="Arial" w:cs="Arial"/>
                <w:sz w:val="24"/>
                <w:szCs w:val="24"/>
              </w:rPr>
            </w:pPr>
          </w:p>
          <w:p w14:paraId="653C2409" w14:textId="15F36456" w:rsidR="00A906C8" w:rsidRDefault="00A906C8" w:rsidP="007079E9">
            <w:pPr>
              <w:spacing w:after="0" w:line="240" w:lineRule="auto"/>
              <w:rPr>
                <w:rFonts w:ascii="Arial" w:hAnsi="Arial" w:cs="Arial"/>
                <w:sz w:val="24"/>
                <w:szCs w:val="24"/>
              </w:rPr>
            </w:pPr>
          </w:p>
          <w:p w14:paraId="3B555EB1" w14:textId="77777777" w:rsidR="00236675" w:rsidRDefault="00236675" w:rsidP="007079E9">
            <w:pPr>
              <w:spacing w:after="0" w:line="240" w:lineRule="auto"/>
              <w:rPr>
                <w:rFonts w:ascii="Arial" w:hAnsi="Arial" w:cs="Arial"/>
                <w:sz w:val="24"/>
                <w:szCs w:val="24"/>
              </w:rPr>
            </w:pPr>
          </w:p>
          <w:p w14:paraId="0E2833B9" w14:textId="4B927726" w:rsidR="003C0C5B" w:rsidRDefault="003C0C5B" w:rsidP="007079E9">
            <w:pPr>
              <w:spacing w:after="0" w:line="240" w:lineRule="auto"/>
              <w:rPr>
                <w:rFonts w:ascii="Arial" w:hAnsi="Arial" w:cs="Arial"/>
                <w:sz w:val="24"/>
                <w:szCs w:val="24"/>
              </w:rPr>
            </w:pPr>
          </w:p>
          <w:p w14:paraId="4CF1CDFC" w14:textId="73782CF0" w:rsidR="00BB5C3B" w:rsidRDefault="00BB5C3B" w:rsidP="007079E9">
            <w:pPr>
              <w:spacing w:after="0" w:line="240" w:lineRule="auto"/>
              <w:rPr>
                <w:rFonts w:ascii="Arial" w:hAnsi="Arial" w:cs="Arial"/>
                <w:sz w:val="24"/>
                <w:szCs w:val="24"/>
              </w:rPr>
            </w:pPr>
          </w:p>
          <w:p w14:paraId="6460DEB5" w14:textId="734CB8C4" w:rsidR="00BB5C3B" w:rsidRDefault="00BB5C3B" w:rsidP="007079E9">
            <w:pPr>
              <w:spacing w:after="0" w:line="240" w:lineRule="auto"/>
              <w:rPr>
                <w:rFonts w:ascii="Arial" w:hAnsi="Arial" w:cs="Arial"/>
                <w:sz w:val="24"/>
                <w:szCs w:val="24"/>
              </w:rPr>
            </w:pPr>
          </w:p>
          <w:p w14:paraId="6159306F" w14:textId="35A40EA2" w:rsidR="00BB5C3B" w:rsidRDefault="00BB5C3B" w:rsidP="007079E9">
            <w:pPr>
              <w:spacing w:after="0" w:line="240" w:lineRule="auto"/>
              <w:rPr>
                <w:rFonts w:ascii="Arial" w:hAnsi="Arial" w:cs="Arial"/>
                <w:sz w:val="24"/>
                <w:szCs w:val="24"/>
              </w:rPr>
            </w:pPr>
          </w:p>
          <w:p w14:paraId="71D21D70" w14:textId="77777777" w:rsidR="00BB5C3B" w:rsidRDefault="00BB5C3B" w:rsidP="007079E9">
            <w:pPr>
              <w:spacing w:after="0" w:line="240" w:lineRule="auto"/>
              <w:rPr>
                <w:rFonts w:ascii="Arial" w:hAnsi="Arial" w:cs="Arial"/>
                <w:sz w:val="24"/>
                <w:szCs w:val="24"/>
              </w:rPr>
            </w:pPr>
          </w:p>
          <w:p w14:paraId="525A23A2" w14:textId="045B941D" w:rsidR="003C0C5B" w:rsidRDefault="003C0C5B" w:rsidP="00BB5C3B">
            <w:pPr>
              <w:spacing w:after="0" w:line="240" w:lineRule="auto"/>
              <w:rPr>
                <w:rFonts w:ascii="Arial" w:hAnsi="Arial" w:cs="Arial"/>
                <w:sz w:val="24"/>
                <w:szCs w:val="24"/>
              </w:rPr>
            </w:pPr>
          </w:p>
          <w:p w14:paraId="484DD6E7" w14:textId="6D3A48DC" w:rsidR="00BB5C3B" w:rsidRDefault="00BB5C3B" w:rsidP="00BB5C3B">
            <w:pPr>
              <w:spacing w:after="0" w:line="240" w:lineRule="auto"/>
              <w:rPr>
                <w:rFonts w:ascii="Arial" w:hAnsi="Arial" w:cs="Arial"/>
                <w:sz w:val="24"/>
                <w:szCs w:val="24"/>
              </w:rPr>
            </w:pPr>
          </w:p>
          <w:p w14:paraId="170590D8" w14:textId="77777777" w:rsidR="00BB5C3B" w:rsidRDefault="00BB5C3B" w:rsidP="00BB5C3B">
            <w:pPr>
              <w:spacing w:after="0" w:line="240" w:lineRule="auto"/>
              <w:rPr>
                <w:rFonts w:ascii="Arial" w:hAnsi="Arial" w:cs="Arial"/>
                <w:sz w:val="24"/>
                <w:szCs w:val="24"/>
              </w:rPr>
            </w:pPr>
          </w:p>
          <w:p w14:paraId="5032F618" w14:textId="77777777" w:rsidR="002C77A0" w:rsidRDefault="002C77A0" w:rsidP="007079E9">
            <w:pPr>
              <w:spacing w:after="0" w:line="240" w:lineRule="auto"/>
              <w:rPr>
                <w:rFonts w:ascii="Arial" w:hAnsi="Arial" w:cs="Arial"/>
                <w:sz w:val="24"/>
                <w:szCs w:val="24"/>
              </w:rPr>
            </w:pPr>
          </w:p>
          <w:p w14:paraId="4E17D19B" w14:textId="77777777" w:rsidR="002C77A0" w:rsidRDefault="002C77A0" w:rsidP="007079E9">
            <w:pPr>
              <w:spacing w:after="0" w:line="240" w:lineRule="auto"/>
              <w:rPr>
                <w:rFonts w:ascii="Arial" w:hAnsi="Arial" w:cs="Arial"/>
                <w:sz w:val="24"/>
                <w:szCs w:val="24"/>
              </w:rPr>
            </w:pPr>
          </w:p>
          <w:p w14:paraId="02D10DD1" w14:textId="77777777" w:rsidR="002C77A0" w:rsidRDefault="002C77A0" w:rsidP="007079E9">
            <w:pPr>
              <w:spacing w:after="0" w:line="240" w:lineRule="auto"/>
              <w:rPr>
                <w:rFonts w:ascii="Arial" w:hAnsi="Arial" w:cs="Arial"/>
                <w:sz w:val="24"/>
                <w:szCs w:val="24"/>
              </w:rPr>
            </w:pPr>
          </w:p>
          <w:p w14:paraId="290BAA9F" w14:textId="77777777" w:rsidR="002C77A0" w:rsidRDefault="002C77A0" w:rsidP="007079E9">
            <w:pPr>
              <w:spacing w:after="0" w:line="240" w:lineRule="auto"/>
              <w:rPr>
                <w:rFonts w:ascii="Arial" w:hAnsi="Arial" w:cs="Arial"/>
                <w:sz w:val="24"/>
                <w:szCs w:val="24"/>
              </w:rPr>
            </w:pPr>
          </w:p>
          <w:p w14:paraId="3F9D693C" w14:textId="77777777" w:rsidR="002C77A0" w:rsidRDefault="002C77A0" w:rsidP="007079E9">
            <w:pPr>
              <w:spacing w:after="0" w:line="240" w:lineRule="auto"/>
              <w:rPr>
                <w:rFonts w:ascii="Arial" w:hAnsi="Arial" w:cs="Arial"/>
                <w:sz w:val="24"/>
                <w:szCs w:val="24"/>
              </w:rPr>
            </w:pPr>
          </w:p>
          <w:p w14:paraId="14DAFA9E" w14:textId="77777777" w:rsidR="002C77A0" w:rsidRDefault="002C77A0" w:rsidP="007079E9">
            <w:pPr>
              <w:spacing w:after="0" w:line="240" w:lineRule="auto"/>
              <w:rPr>
                <w:rFonts w:ascii="Arial" w:hAnsi="Arial" w:cs="Arial"/>
                <w:sz w:val="24"/>
                <w:szCs w:val="24"/>
              </w:rPr>
            </w:pPr>
          </w:p>
          <w:p w14:paraId="2FCD2E61" w14:textId="77777777" w:rsidR="002C77A0" w:rsidRDefault="002C77A0" w:rsidP="007079E9">
            <w:pPr>
              <w:spacing w:after="0" w:line="240" w:lineRule="auto"/>
              <w:rPr>
                <w:rFonts w:ascii="Arial" w:hAnsi="Arial" w:cs="Arial"/>
                <w:sz w:val="24"/>
                <w:szCs w:val="24"/>
              </w:rPr>
            </w:pPr>
          </w:p>
          <w:p w14:paraId="6D7914CE" w14:textId="77777777" w:rsidR="002C77A0" w:rsidRDefault="002C77A0" w:rsidP="007079E9">
            <w:pPr>
              <w:spacing w:after="0" w:line="240" w:lineRule="auto"/>
              <w:rPr>
                <w:rFonts w:ascii="Arial" w:hAnsi="Arial" w:cs="Arial"/>
                <w:sz w:val="24"/>
                <w:szCs w:val="24"/>
              </w:rPr>
            </w:pPr>
          </w:p>
          <w:p w14:paraId="59200D4F" w14:textId="77777777" w:rsidR="002C77A0" w:rsidRDefault="002C77A0" w:rsidP="007079E9">
            <w:pPr>
              <w:spacing w:after="0" w:line="240" w:lineRule="auto"/>
              <w:rPr>
                <w:rFonts w:ascii="Arial" w:hAnsi="Arial" w:cs="Arial"/>
                <w:sz w:val="24"/>
                <w:szCs w:val="24"/>
              </w:rPr>
            </w:pPr>
          </w:p>
          <w:p w14:paraId="3DAB6DE2" w14:textId="77777777" w:rsidR="002C77A0" w:rsidRDefault="002C77A0" w:rsidP="007079E9">
            <w:pPr>
              <w:spacing w:after="0" w:line="240" w:lineRule="auto"/>
              <w:rPr>
                <w:rFonts w:ascii="Arial" w:hAnsi="Arial" w:cs="Arial"/>
                <w:sz w:val="24"/>
                <w:szCs w:val="24"/>
              </w:rPr>
            </w:pPr>
          </w:p>
          <w:p w14:paraId="74A35D4D" w14:textId="77777777" w:rsidR="002C77A0" w:rsidRDefault="002C77A0" w:rsidP="007079E9">
            <w:pPr>
              <w:spacing w:after="0" w:line="240" w:lineRule="auto"/>
              <w:rPr>
                <w:rFonts w:ascii="Arial" w:hAnsi="Arial" w:cs="Arial"/>
                <w:sz w:val="24"/>
                <w:szCs w:val="24"/>
              </w:rPr>
            </w:pPr>
          </w:p>
          <w:p w14:paraId="3A3F49E2" w14:textId="77777777" w:rsidR="002C77A0" w:rsidRDefault="002C77A0" w:rsidP="007079E9">
            <w:pPr>
              <w:spacing w:after="0" w:line="240" w:lineRule="auto"/>
              <w:rPr>
                <w:rFonts w:ascii="Arial" w:hAnsi="Arial" w:cs="Arial"/>
                <w:sz w:val="24"/>
                <w:szCs w:val="24"/>
              </w:rPr>
            </w:pPr>
          </w:p>
          <w:p w14:paraId="29024722" w14:textId="77777777" w:rsidR="002C77A0" w:rsidRDefault="002C77A0" w:rsidP="007079E9">
            <w:pPr>
              <w:spacing w:after="0" w:line="240" w:lineRule="auto"/>
              <w:rPr>
                <w:rFonts w:ascii="Arial" w:hAnsi="Arial" w:cs="Arial"/>
                <w:sz w:val="24"/>
                <w:szCs w:val="24"/>
              </w:rPr>
            </w:pPr>
          </w:p>
          <w:p w14:paraId="576FA9A2" w14:textId="77777777" w:rsidR="002C77A0" w:rsidRDefault="002C77A0" w:rsidP="007079E9">
            <w:pPr>
              <w:spacing w:after="0" w:line="240" w:lineRule="auto"/>
              <w:rPr>
                <w:rFonts w:ascii="Arial" w:hAnsi="Arial" w:cs="Arial"/>
                <w:sz w:val="24"/>
                <w:szCs w:val="24"/>
              </w:rPr>
            </w:pPr>
          </w:p>
          <w:p w14:paraId="71CB9439" w14:textId="77777777" w:rsidR="002C77A0" w:rsidRDefault="002C77A0" w:rsidP="007079E9">
            <w:pPr>
              <w:spacing w:after="0" w:line="240" w:lineRule="auto"/>
              <w:rPr>
                <w:rFonts w:ascii="Arial" w:hAnsi="Arial" w:cs="Arial"/>
                <w:sz w:val="24"/>
                <w:szCs w:val="24"/>
              </w:rPr>
            </w:pPr>
          </w:p>
          <w:p w14:paraId="2A024FE3" w14:textId="77777777" w:rsidR="002C77A0" w:rsidRDefault="002C77A0" w:rsidP="007079E9">
            <w:pPr>
              <w:spacing w:after="0" w:line="240" w:lineRule="auto"/>
              <w:rPr>
                <w:rFonts w:ascii="Arial" w:hAnsi="Arial" w:cs="Arial"/>
                <w:sz w:val="24"/>
                <w:szCs w:val="24"/>
              </w:rPr>
            </w:pPr>
          </w:p>
          <w:p w14:paraId="35BF70A3" w14:textId="77777777" w:rsidR="002C77A0" w:rsidRDefault="002C77A0" w:rsidP="007079E9">
            <w:pPr>
              <w:spacing w:after="0" w:line="240" w:lineRule="auto"/>
              <w:rPr>
                <w:rFonts w:ascii="Arial" w:hAnsi="Arial" w:cs="Arial"/>
                <w:sz w:val="24"/>
                <w:szCs w:val="24"/>
              </w:rPr>
            </w:pPr>
          </w:p>
          <w:p w14:paraId="0C50E766" w14:textId="77777777" w:rsidR="002C77A0" w:rsidRDefault="002C77A0" w:rsidP="007079E9">
            <w:pPr>
              <w:spacing w:after="0" w:line="240" w:lineRule="auto"/>
              <w:rPr>
                <w:rFonts w:ascii="Arial" w:hAnsi="Arial" w:cs="Arial"/>
                <w:sz w:val="24"/>
                <w:szCs w:val="24"/>
              </w:rPr>
            </w:pPr>
          </w:p>
          <w:p w14:paraId="16C9E0CA" w14:textId="77777777" w:rsidR="002C77A0" w:rsidRDefault="002C77A0" w:rsidP="007079E9">
            <w:pPr>
              <w:spacing w:after="0" w:line="240" w:lineRule="auto"/>
              <w:rPr>
                <w:rFonts w:ascii="Arial" w:hAnsi="Arial" w:cs="Arial"/>
                <w:sz w:val="24"/>
                <w:szCs w:val="24"/>
              </w:rPr>
            </w:pPr>
          </w:p>
          <w:p w14:paraId="59C169B7" w14:textId="77777777" w:rsidR="002C77A0" w:rsidRDefault="002C77A0" w:rsidP="007079E9">
            <w:pPr>
              <w:spacing w:after="0" w:line="240" w:lineRule="auto"/>
              <w:rPr>
                <w:rFonts w:ascii="Arial" w:hAnsi="Arial" w:cs="Arial"/>
                <w:sz w:val="24"/>
                <w:szCs w:val="24"/>
              </w:rPr>
            </w:pPr>
          </w:p>
          <w:p w14:paraId="6C01847E" w14:textId="77777777" w:rsidR="002C77A0" w:rsidRDefault="002C77A0" w:rsidP="007079E9">
            <w:pPr>
              <w:spacing w:after="0" w:line="240" w:lineRule="auto"/>
              <w:rPr>
                <w:rFonts w:ascii="Arial" w:hAnsi="Arial" w:cs="Arial"/>
                <w:sz w:val="24"/>
                <w:szCs w:val="24"/>
              </w:rPr>
            </w:pPr>
          </w:p>
          <w:p w14:paraId="1144CF03" w14:textId="77777777" w:rsidR="002C77A0" w:rsidRDefault="002C77A0" w:rsidP="007079E9">
            <w:pPr>
              <w:spacing w:after="0" w:line="240" w:lineRule="auto"/>
              <w:rPr>
                <w:rFonts w:ascii="Arial" w:hAnsi="Arial" w:cs="Arial"/>
                <w:sz w:val="24"/>
                <w:szCs w:val="24"/>
              </w:rPr>
            </w:pPr>
          </w:p>
          <w:p w14:paraId="17C655AC" w14:textId="77777777" w:rsidR="002C77A0" w:rsidRDefault="002C77A0" w:rsidP="007079E9">
            <w:pPr>
              <w:spacing w:after="0" w:line="240" w:lineRule="auto"/>
              <w:rPr>
                <w:rFonts w:ascii="Arial" w:hAnsi="Arial" w:cs="Arial"/>
                <w:sz w:val="24"/>
                <w:szCs w:val="24"/>
              </w:rPr>
            </w:pPr>
          </w:p>
          <w:p w14:paraId="2ED16813" w14:textId="77777777" w:rsidR="002C77A0" w:rsidRDefault="002C77A0" w:rsidP="007079E9">
            <w:pPr>
              <w:spacing w:after="0" w:line="240" w:lineRule="auto"/>
              <w:rPr>
                <w:rFonts w:ascii="Arial" w:hAnsi="Arial" w:cs="Arial"/>
                <w:sz w:val="24"/>
                <w:szCs w:val="24"/>
              </w:rPr>
            </w:pPr>
          </w:p>
          <w:p w14:paraId="32926A68" w14:textId="77777777" w:rsidR="002C77A0" w:rsidRDefault="002C77A0" w:rsidP="007079E9">
            <w:pPr>
              <w:spacing w:after="0" w:line="240" w:lineRule="auto"/>
              <w:rPr>
                <w:rFonts w:ascii="Arial" w:hAnsi="Arial" w:cs="Arial"/>
                <w:sz w:val="24"/>
                <w:szCs w:val="24"/>
              </w:rPr>
            </w:pPr>
          </w:p>
          <w:p w14:paraId="3608F8E4" w14:textId="77777777" w:rsidR="002C77A0" w:rsidRDefault="002C77A0" w:rsidP="007079E9">
            <w:pPr>
              <w:spacing w:after="0" w:line="240" w:lineRule="auto"/>
              <w:rPr>
                <w:rFonts w:ascii="Arial" w:hAnsi="Arial" w:cs="Arial"/>
                <w:sz w:val="24"/>
                <w:szCs w:val="24"/>
              </w:rPr>
            </w:pPr>
          </w:p>
          <w:p w14:paraId="114105E4" w14:textId="77777777" w:rsidR="002C77A0" w:rsidRDefault="002C77A0" w:rsidP="007079E9">
            <w:pPr>
              <w:spacing w:after="0" w:line="240" w:lineRule="auto"/>
              <w:rPr>
                <w:rFonts w:ascii="Arial" w:hAnsi="Arial" w:cs="Arial"/>
                <w:sz w:val="24"/>
                <w:szCs w:val="24"/>
              </w:rPr>
            </w:pPr>
          </w:p>
          <w:p w14:paraId="068BC51D" w14:textId="77777777" w:rsidR="002C77A0" w:rsidRDefault="002C77A0" w:rsidP="007079E9">
            <w:pPr>
              <w:spacing w:after="0" w:line="240" w:lineRule="auto"/>
              <w:rPr>
                <w:rFonts w:ascii="Arial" w:hAnsi="Arial" w:cs="Arial"/>
                <w:sz w:val="24"/>
                <w:szCs w:val="24"/>
              </w:rPr>
            </w:pPr>
          </w:p>
          <w:p w14:paraId="3B158F60" w14:textId="77777777" w:rsidR="002C77A0" w:rsidRDefault="002C77A0" w:rsidP="007079E9">
            <w:pPr>
              <w:spacing w:after="0" w:line="240" w:lineRule="auto"/>
              <w:rPr>
                <w:rFonts w:ascii="Arial" w:hAnsi="Arial" w:cs="Arial"/>
                <w:sz w:val="24"/>
                <w:szCs w:val="24"/>
              </w:rPr>
            </w:pPr>
          </w:p>
          <w:p w14:paraId="452A254D" w14:textId="77777777" w:rsidR="002C77A0" w:rsidRDefault="002C77A0" w:rsidP="007079E9">
            <w:pPr>
              <w:spacing w:after="0" w:line="240" w:lineRule="auto"/>
              <w:rPr>
                <w:rFonts w:ascii="Arial" w:hAnsi="Arial" w:cs="Arial"/>
                <w:sz w:val="24"/>
                <w:szCs w:val="24"/>
              </w:rPr>
            </w:pPr>
          </w:p>
          <w:p w14:paraId="7CE5C320" w14:textId="77777777" w:rsidR="002C77A0" w:rsidRDefault="002C77A0" w:rsidP="007079E9">
            <w:pPr>
              <w:spacing w:after="0" w:line="240" w:lineRule="auto"/>
              <w:rPr>
                <w:rFonts w:ascii="Arial" w:hAnsi="Arial" w:cs="Arial"/>
                <w:sz w:val="24"/>
                <w:szCs w:val="24"/>
              </w:rPr>
            </w:pPr>
          </w:p>
          <w:p w14:paraId="157B9FC2" w14:textId="77777777" w:rsidR="002C77A0" w:rsidRDefault="002C77A0" w:rsidP="007079E9">
            <w:pPr>
              <w:spacing w:after="0" w:line="240" w:lineRule="auto"/>
              <w:rPr>
                <w:rFonts w:ascii="Arial" w:hAnsi="Arial" w:cs="Arial"/>
                <w:sz w:val="24"/>
                <w:szCs w:val="24"/>
              </w:rPr>
            </w:pPr>
          </w:p>
          <w:p w14:paraId="42AC9624" w14:textId="77777777" w:rsidR="002C77A0" w:rsidRDefault="002C77A0" w:rsidP="007079E9">
            <w:pPr>
              <w:spacing w:after="0" w:line="240" w:lineRule="auto"/>
              <w:rPr>
                <w:rFonts w:ascii="Arial" w:hAnsi="Arial" w:cs="Arial"/>
                <w:sz w:val="24"/>
                <w:szCs w:val="24"/>
              </w:rPr>
            </w:pPr>
          </w:p>
          <w:p w14:paraId="7208B38C" w14:textId="77777777" w:rsidR="002C77A0" w:rsidRDefault="002C77A0" w:rsidP="007079E9">
            <w:pPr>
              <w:spacing w:after="0" w:line="240" w:lineRule="auto"/>
              <w:rPr>
                <w:rFonts w:ascii="Arial" w:hAnsi="Arial" w:cs="Arial"/>
                <w:sz w:val="24"/>
                <w:szCs w:val="24"/>
              </w:rPr>
            </w:pPr>
          </w:p>
          <w:p w14:paraId="52DD0535" w14:textId="77777777" w:rsidR="002C77A0" w:rsidRDefault="002C77A0" w:rsidP="007079E9">
            <w:pPr>
              <w:spacing w:after="0" w:line="240" w:lineRule="auto"/>
              <w:rPr>
                <w:rFonts w:ascii="Arial" w:hAnsi="Arial" w:cs="Arial"/>
                <w:sz w:val="24"/>
                <w:szCs w:val="24"/>
              </w:rPr>
            </w:pPr>
          </w:p>
          <w:p w14:paraId="041DAC22" w14:textId="77777777" w:rsidR="002C77A0" w:rsidRDefault="002C77A0" w:rsidP="007079E9">
            <w:pPr>
              <w:spacing w:after="0" w:line="240" w:lineRule="auto"/>
              <w:rPr>
                <w:rFonts w:ascii="Arial" w:hAnsi="Arial" w:cs="Arial"/>
                <w:sz w:val="24"/>
                <w:szCs w:val="24"/>
              </w:rPr>
            </w:pPr>
          </w:p>
          <w:p w14:paraId="01613AB8" w14:textId="77777777" w:rsidR="002C77A0" w:rsidRDefault="002C77A0" w:rsidP="007079E9">
            <w:pPr>
              <w:spacing w:after="0" w:line="240" w:lineRule="auto"/>
              <w:rPr>
                <w:rFonts w:ascii="Arial" w:hAnsi="Arial" w:cs="Arial"/>
                <w:sz w:val="24"/>
                <w:szCs w:val="24"/>
              </w:rPr>
            </w:pPr>
          </w:p>
          <w:p w14:paraId="0A165853" w14:textId="77777777" w:rsidR="002C77A0" w:rsidRDefault="002C77A0" w:rsidP="007079E9">
            <w:pPr>
              <w:spacing w:after="0" w:line="240" w:lineRule="auto"/>
              <w:rPr>
                <w:rFonts w:ascii="Arial" w:hAnsi="Arial" w:cs="Arial"/>
                <w:sz w:val="24"/>
                <w:szCs w:val="24"/>
              </w:rPr>
            </w:pPr>
          </w:p>
          <w:p w14:paraId="16471377" w14:textId="77777777" w:rsidR="002C77A0" w:rsidRDefault="002C77A0" w:rsidP="007079E9">
            <w:pPr>
              <w:spacing w:after="0" w:line="240" w:lineRule="auto"/>
              <w:rPr>
                <w:rFonts w:ascii="Arial" w:hAnsi="Arial" w:cs="Arial"/>
                <w:sz w:val="24"/>
                <w:szCs w:val="24"/>
              </w:rPr>
            </w:pPr>
          </w:p>
          <w:p w14:paraId="3FC27AC2" w14:textId="77777777" w:rsidR="002C77A0" w:rsidRDefault="002C77A0" w:rsidP="007079E9">
            <w:pPr>
              <w:spacing w:after="0" w:line="240" w:lineRule="auto"/>
              <w:rPr>
                <w:rFonts w:ascii="Arial" w:hAnsi="Arial" w:cs="Arial"/>
                <w:sz w:val="24"/>
                <w:szCs w:val="24"/>
              </w:rPr>
            </w:pPr>
          </w:p>
          <w:p w14:paraId="22EC415A" w14:textId="77777777" w:rsidR="002C77A0" w:rsidRDefault="002C77A0" w:rsidP="007079E9">
            <w:pPr>
              <w:spacing w:after="0" w:line="240" w:lineRule="auto"/>
              <w:rPr>
                <w:rFonts w:ascii="Arial" w:hAnsi="Arial" w:cs="Arial"/>
                <w:sz w:val="24"/>
                <w:szCs w:val="24"/>
              </w:rPr>
            </w:pPr>
          </w:p>
          <w:p w14:paraId="5C93E5D2" w14:textId="77777777" w:rsidR="002C77A0" w:rsidRDefault="002C77A0" w:rsidP="007079E9">
            <w:pPr>
              <w:spacing w:after="0" w:line="240" w:lineRule="auto"/>
              <w:rPr>
                <w:rFonts w:ascii="Arial" w:hAnsi="Arial" w:cs="Arial"/>
                <w:sz w:val="24"/>
                <w:szCs w:val="24"/>
              </w:rPr>
            </w:pPr>
          </w:p>
          <w:p w14:paraId="30E4981C" w14:textId="77777777" w:rsidR="002C77A0" w:rsidRDefault="002C77A0" w:rsidP="007079E9">
            <w:pPr>
              <w:spacing w:after="0" w:line="240" w:lineRule="auto"/>
              <w:rPr>
                <w:rFonts w:ascii="Arial" w:hAnsi="Arial" w:cs="Arial"/>
                <w:sz w:val="24"/>
                <w:szCs w:val="24"/>
              </w:rPr>
            </w:pPr>
          </w:p>
          <w:p w14:paraId="4CAC3673" w14:textId="77777777" w:rsidR="002C77A0" w:rsidRDefault="002C77A0" w:rsidP="007079E9">
            <w:pPr>
              <w:spacing w:after="0" w:line="240" w:lineRule="auto"/>
              <w:rPr>
                <w:rFonts w:ascii="Arial" w:hAnsi="Arial" w:cs="Arial"/>
                <w:sz w:val="24"/>
                <w:szCs w:val="24"/>
              </w:rPr>
            </w:pPr>
          </w:p>
          <w:p w14:paraId="05B1B02C" w14:textId="77777777" w:rsidR="002C77A0" w:rsidRDefault="002C77A0" w:rsidP="007079E9">
            <w:pPr>
              <w:spacing w:after="0" w:line="240" w:lineRule="auto"/>
              <w:rPr>
                <w:rFonts w:ascii="Arial" w:hAnsi="Arial" w:cs="Arial"/>
                <w:sz w:val="24"/>
                <w:szCs w:val="24"/>
              </w:rPr>
            </w:pPr>
          </w:p>
          <w:p w14:paraId="0CC04C06" w14:textId="77777777" w:rsidR="002C77A0" w:rsidRDefault="002C77A0" w:rsidP="007079E9">
            <w:pPr>
              <w:spacing w:after="0" w:line="240" w:lineRule="auto"/>
              <w:rPr>
                <w:rFonts w:ascii="Arial" w:hAnsi="Arial" w:cs="Arial"/>
                <w:sz w:val="24"/>
                <w:szCs w:val="24"/>
              </w:rPr>
            </w:pPr>
          </w:p>
          <w:p w14:paraId="483132F5" w14:textId="77777777" w:rsidR="002C77A0" w:rsidRDefault="002C77A0" w:rsidP="007079E9">
            <w:pPr>
              <w:spacing w:after="0" w:line="240" w:lineRule="auto"/>
              <w:rPr>
                <w:rFonts w:ascii="Arial" w:hAnsi="Arial" w:cs="Arial"/>
                <w:sz w:val="24"/>
                <w:szCs w:val="24"/>
              </w:rPr>
            </w:pPr>
          </w:p>
          <w:p w14:paraId="227CC45C" w14:textId="77777777" w:rsidR="002C77A0" w:rsidRDefault="002C77A0" w:rsidP="007079E9">
            <w:pPr>
              <w:spacing w:after="0" w:line="240" w:lineRule="auto"/>
              <w:rPr>
                <w:rFonts w:ascii="Arial" w:hAnsi="Arial" w:cs="Arial"/>
                <w:sz w:val="24"/>
                <w:szCs w:val="24"/>
              </w:rPr>
            </w:pPr>
          </w:p>
          <w:p w14:paraId="2785D1B8" w14:textId="77777777" w:rsidR="002C77A0" w:rsidRDefault="002C77A0" w:rsidP="007079E9">
            <w:pPr>
              <w:spacing w:after="0" w:line="240" w:lineRule="auto"/>
              <w:rPr>
                <w:rFonts w:ascii="Arial" w:hAnsi="Arial" w:cs="Arial"/>
                <w:sz w:val="24"/>
                <w:szCs w:val="24"/>
              </w:rPr>
            </w:pPr>
          </w:p>
          <w:p w14:paraId="53CB4095" w14:textId="77777777" w:rsidR="002C77A0" w:rsidRDefault="002C77A0" w:rsidP="007079E9">
            <w:pPr>
              <w:spacing w:after="0" w:line="240" w:lineRule="auto"/>
              <w:rPr>
                <w:rFonts w:ascii="Arial" w:hAnsi="Arial" w:cs="Arial"/>
                <w:sz w:val="24"/>
                <w:szCs w:val="24"/>
              </w:rPr>
            </w:pPr>
          </w:p>
          <w:p w14:paraId="37796B92" w14:textId="77777777" w:rsidR="002C77A0" w:rsidRDefault="002C77A0" w:rsidP="007079E9">
            <w:pPr>
              <w:spacing w:after="0" w:line="240" w:lineRule="auto"/>
              <w:rPr>
                <w:rFonts w:ascii="Arial" w:hAnsi="Arial" w:cs="Arial"/>
                <w:sz w:val="24"/>
                <w:szCs w:val="24"/>
              </w:rPr>
            </w:pPr>
          </w:p>
          <w:p w14:paraId="482098E7" w14:textId="77777777" w:rsidR="002C77A0" w:rsidRDefault="002C77A0" w:rsidP="007079E9">
            <w:pPr>
              <w:spacing w:after="0" w:line="240" w:lineRule="auto"/>
              <w:rPr>
                <w:rFonts w:ascii="Arial" w:hAnsi="Arial" w:cs="Arial"/>
                <w:sz w:val="24"/>
                <w:szCs w:val="24"/>
              </w:rPr>
            </w:pPr>
          </w:p>
          <w:p w14:paraId="2596C018" w14:textId="77777777" w:rsidR="002C77A0" w:rsidRDefault="002C77A0" w:rsidP="007079E9">
            <w:pPr>
              <w:spacing w:after="0" w:line="240" w:lineRule="auto"/>
              <w:rPr>
                <w:rFonts w:ascii="Arial" w:hAnsi="Arial" w:cs="Arial"/>
                <w:sz w:val="24"/>
                <w:szCs w:val="24"/>
              </w:rPr>
            </w:pPr>
          </w:p>
          <w:p w14:paraId="23541AF5" w14:textId="77777777" w:rsidR="002C77A0" w:rsidRDefault="002C77A0" w:rsidP="007079E9">
            <w:pPr>
              <w:spacing w:after="0" w:line="240" w:lineRule="auto"/>
              <w:rPr>
                <w:rFonts w:ascii="Arial" w:hAnsi="Arial" w:cs="Arial"/>
                <w:sz w:val="24"/>
                <w:szCs w:val="24"/>
              </w:rPr>
            </w:pPr>
          </w:p>
          <w:p w14:paraId="6C9AF25B" w14:textId="77777777" w:rsidR="002C77A0" w:rsidRDefault="002C77A0" w:rsidP="007079E9">
            <w:pPr>
              <w:spacing w:after="0" w:line="240" w:lineRule="auto"/>
              <w:rPr>
                <w:rFonts w:ascii="Arial" w:hAnsi="Arial" w:cs="Arial"/>
                <w:sz w:val="24"/>
                <w:szCs w:val="24"/>
              </w:rPr>
            </w:pPr>
          </w:p>
          <w:p w14:paraId="0F508698" w14:textId="77777777" w:rsidR="002C77A0" w:rsidRDefault="002C77A0" w:rsidP="007079E9">
            <w:pPr>
              <w:spacing w:after="0" w:line="240" w:lineRule="auto"/>
              <w:rPr>
                <w:rFonts w:ascii="Arial" w:hAnsi="Arial" w:cs="Arial"/>
                <w:sz w:val="24"/>
                <w:szCs w:val="24"/>
              </w:rPr>
            </w:pPr>
          </w:p>
          <w:p w14:paraId="1F4840AD" w14:textId="77777777" w:rsidR="002C77A0" w:rsidRDefault="002C77A0" w:rsidP="007079E9">
            <w:pPr>
              <w:spacing w:after="0" w:line="240" w:lineRule="auto"/>
              <w:rPr>
                <w:rFonts w:ascii="Arial" w:hAnsi="Arial" w:cs="Arial"/>
                <w:sz w:val="24"/>
                <w:szCs w:val="24"/>
              </w:rPr>
            </w:pPr>
          </w:p>
          <w:p w14:paraId="31E5DCF4" w14:textId="77777777" w:rsidR="002C77A0" w:rsidRDefault="002C77A0" w:rsidP="007079E9">
            <w:pPr>
              <w:spacing w:after="0" w:line="240" w:lineRule="auto"/>
              <w:rPr>
                <w:rFonts w:ascii="Arial" w:hAnsi="Arial" w:cs="Arial"/>
                <w:sz w:val="24"/>
                <w:szCs w:val="24"/>
              </w:rPr>
            </w:pPr>
          </w:p>
          <w:p w14:paraId="5A5A47A4" w14:textId="77777777" w:rsidR="002C77A0" w:rsidRDefault="002C77A0" w:rsidP="007079E9">
            <w:pPr>
              <w:spacing w:after="0" w:line="240" w:lineRule="auto"/>
              <w:rPr>
                <w:rFonts w:ascii="Arial" w:hAnsi="Arial" w:cs="Arial"/>
                <w:sz w:val="24"/>
                <w:szCs w:val="24"/>
              </w:rPr>
            </w:pPr>
          </w:p>
          <w:p w14:paraId="547B57F6" w14:textId="77777777" w:rsidR="002C77A0" w:rsidRDefault="002C77A0" w:rsidP="007079E9">
            <w:pPr>
              <w:spacing w:after="0" w:line="240" w:lineRule="auto"/>
              <w:rPr>
                <w:rFonts w:ascii="Arial" w:hAnsi="Arial" w:cs="Arial"/>
                <w:sz w:val="24"/>
                <w:szCs w:val="24"/>
              </w:rPr>
            </w:pPr>
          </w:p>
          <w:p w14:paraId="1AEA5C19" w14:textId="77777777" w:rsidR="002C77A0" w:rsidRDefault="002C77A0" w:rsidP="007079E9">
            <w:pPr>
              <w:spacing w:after="0" w:line="240" w:lineRule="auto"/>
              <w:rPr>
                <w:rFonts w:ascii="Arial" w:hAnsi="Arial" w:cs="Arial"/>
                <w:sz w:val="24"/>
                <w:szCs w:val="24"/>
              </w:rPr>
            </w:pPr>
          </w:p>
          <w:p w14:paraId="2BDBFBDB" w14:textId="77777777" w:rsidR="002C77A0" w:rsidRDefault="002C77A0" w:rsidP="007079E9">
            <w:pPr>
              <w:spacing w:after="0" w:line="240" w:lineRule="auto"/>
              <w:rPr>
                <w:rFonts w:ascii="Arial" w:hAnsi="Arial" w:cs="Arial"/>
                <w:sz w:val="24"/>
                <w:szCs w:val="24"/>
              </w:rPr>
            </w:pPr>
          </w:p>
          <w:p w14:paraId="3159D30E" w14:textId="77777777" w:rsidR="002C77A0" w:rsidRDefault="002C77A0" w:rsidP="007079E9">
            <w:pPr>
              <w:spacing w:after="0" w:line="240" w:lineRule="auto"/>
              <w:rPr>
                <w:rFonts w:ascii="Arial" w:hAnsi="Arial" w:cs="Arial"/>
                <w:sz w:val="24"/>
                <w:szCs w:val="24"/>
              </w:rPr>
            </w:pPr>
          </w:p>
          <w:p w14:paraId="5E029966" w14:textId="77777777" w:rsidR="002C77A0" w:rsidRDefault="002C77A0" w:rsidP="007079E9">
            <w:pPr>
              <w:spacing w:after="0" w:line="240" w:lineRule="auto"/>
              <w:rPr>
                <w:rFonts w:ascii="Arial" w:hAnsi="Arial" w:cs="Arial"/>
                <w:sz w:val="24"/>
                <w:szCs w:val="24"/>
              </w:rPr>
            </w:pPr>
          </w:p>
          <w:p w14:paraId="24C3CBAD" w14:textId="77777777" w:rsidR="002C77A0" w:rsidRDefault="002C77A0" w:rsidP="007079E9">
            <w:pPr>
              <w:spacing w:after="0" w:line="240" w:lineRule="auto"/>
              <w:rPr>
                <w:rFonts w:ascii="Arial" w:hAnsi="Arial" w:cs="Arial"/>
                <w:sz w:val="24"/>
                <w:szCs w:val="24"/>
              </w:rPr>
            </w:pPr>
          </w:p>
          <w:p w14:paraId="6DB45F4E" w14:textId="77777777" w:rsidR="002C77A0" w:rsidRDefault="002C77A0" w:rsidP="007079E9">
            <w:pPr>
              <w:spacing w:after="0" w:line="240" w:lineRule="auto"/>
              <w:rPr>
                <w:rFonts w:ascii="Arial" w:hAnsi="Arial" w:cs="Arial"/>
                <w:sz w:val="24"/>
                <w:szCs w:val="24"/>
              </w:rPr>
            </w:pPr>
          </w:p>
          <w:p w14:paraId="4B6841F7" w14:textId="77777777" w:rsidR="002C77A0" w:rsidRDefault="002C77A0" w:rsidP="007079E9">
            <w:pPr>
              <w:spacing w:after="0" w:line="240" w:lineRule="auto"/>
              <w:rPr>
                <w:rFonts w:ascii="Arial" w:hAnsi="Arial" w:cs="Arial"/>
                <w:sz w:val="24"/>
                <w:szCs w:val="24"/>
              </w:rPr>
            </w:pPr>
          </w:p>
          <w:p w14:paraId="79B77DF0" w14:textId="5BB6B9F6" w:rsidR="002C77A0" w:rsidRDefault="002C77A0" w:rsidP="007079E9">
            <w:pPr>
              <w:spacing w:after="0" w:line="240" w:lineRule="auto"/>
              <w:rPr>
                <w:rFonts w:ascii="Arial" w:hAnsi="Arial" w:cs="Arial"/>
                <w:sz w:val="24"/>
                <w:szCs w:val="24"/>
              </w:rPr>
            </w:pPr>
          </w:p>
          <w:p w14:paraId="271136FB" w14:textId="682D7094" w:rsidR="007D748D" w:rsidRDefault="007D748D" w:rsidP="007079E9">
            <w:pPr>
              <w:spacing w:after="0" w:line="240" w:lineRule="auto"/>
              <w:rPr>
                <w:rFonts w:ascii="Arial" w:hAnsi="Arial" w:cs="Arial"/>
                <w:sz w:val="24"/>
                <w:szCs w:val="24"/>
              </w:rPr>
            </w:pPr>
          </w:p>
          <w:p w14:paraId="1558A4F8" w14:textId="77777777" w:rsidR="00D02DEC" w:rsidRPr="00D02DEC" w:rsidRDefault="00D02DEC" w:rsidP="00D02DEC">
            <w:pPr>
              <w:spacing w:after="0" w:line="240" w:lineRule="auto"/>
              <w:rPr>
                <w:rFonts w:ascii="Arial" w:hAnsi="Arial" w:cs="Arial"/>
                <w:sz w:val="24"/>
                <w:szCs w:val="24"/>
              </w:rPr>
            </w:pPr>
            <w:r w:rsidRPr="00D02DEC">
              <w:rPr>
                <w:rFonts w:ascii="Arial" w:hAnsi="Arial" w:cs="Arial"/>
                <w:sz w:val="24"/>
                <w:szCs w:val="24"/>
              </w:rPr>
              <w:t>4.13</w:t>
            </w:r>
          </w:p>
          <w:p w14:paraId="353C6364" w14:textId="77777777" w:rsidR="004B6580" w:rsidRDefault="004B6580" w:rsidP="007079E9">
            <w:pPr>
              <w:spacing w:after="0" w:line="240" w:lineRule="auto"/>
              <w:rPr>
                <w:rFonts w:ascii="Arial" w:hAnsi="Arial" w:cs="Arial"/>
                <w:sz w:val="24"/>
                <w:szCs w:val="24"/>
              </w:rPr>
            </w:pPr>
          </w:p>
          <w:p w14:paraId="68BDB929" w14:textId="77777777" w:rsidR="004B6580" w:rsidRDefault="004B6580" w:rsidP="007079E9">
            <w:pPr>
              <w:spacing w:after="0" w:line="240" w:lineRule="auto"/>
              <w:rPr>
                <w:rFonts w:ascii="Arial" w:hAnsi="Arial" w:cs="Arial"/>
                <w:sz w:val="24"/>
                <w:szCs w:val="24"/>
              </w:rPr>
            </w:pPr>
          </w:p>
          <w:p w14:paraId="51754A53" w14:textId="77777777" w:rsidR="004B6580" w:rsidRDefault="004B6580" w:rsidP="007079E9">
            <w:pPr>
              <w:spacing w:after="0" w:line="240" w:lineRule="auto"/>
              <w:rPr>
                <w:rFonts w:ascii="Arial" w:hAnsi="Arial" w:cs="Arial"/>
                <w:sz w:val="24"/>
                <w:szCs w:val="24"/>
              </w:rPr>
            </w:pPr>
          </w:p>
          <w:p w14:paraId="1BB12E04" w14:textId="77777777" w:rsidR="004B6580" w:rsidRDefault="004B6580" w:rsidP="007079E9">
            <w:pPr>
              <w:spacing w:after="0" w:line="240" w:lineRule="auto"/>
              <w:rPr>
                <w:rFonts w:ascii="Arial" w:hAnsi="Arial" w:cs="Arial"/>
                <w:sz w:val="24"/>
                <w:szCs w:val="24"/>
              </w:rPr>
            </w:pPr>
          </w:p>
          <w:p w14:paraId="773F1D73" w14:textId="77777777" w:rsidR="002C77A0" w:rsidRDefault="002C77A0" w:rsidP="007079E9">
            <w:pPr>
              <w:spacing w:after="0" w:line="240" w:lineRule="auto"/>
              <w:rPr>
                <w:rFonts w:ascii="Arial" w:hAnsi="Arial" w:cs="Arial"/>
                <w:sz w:val="24"/>
                <w:szCs w:val="24"/>
              </w:rPr>
            </w:pPr>
          </w:p>
          <w:p w14:paraId="4B59C85A" w14:textId="77777777" w:rsidR="00F352ED" w:rsidRDefault="00F352ED" w:rsidP="007079E9">
            <w:pPr>
              <w:spacing w:after="0" w:line="240" w:lineRule="auto"/>
              <w:rPr>
                <w:rFonts w:ascii="Arial" w:hAnsi="Arial" w:cs="Arial"/>
                <w:sz w:val="24"/>
                <w:szCs w:val="24"/>
              </w:rPr>
            </w:pPr>
          </w:p>
          <w:p w14:paraId="4E67FD09" w14:textId="3F87CB6C" w:rsidR="00F352ED" w:rsidRDefault="00F352ED" w:rsidP="007079E9">
            <w:pPr>
              <w:spacing w:after="0" w:line="240" w:lineRule="auto"/>
              <w:rPr>
                <w:rFonts w:ascii="Arial" w:hAnsi="Arial" w:cs="Arial"/>
                <w:sz w:val="24"/>
                <w:szCs w:val="24"/>
              </w:rPr>
            </w:pPr>
          </w:p>
          <w:p w14:paraId="5793C8E6" w14:textId="5B8EF126" w:rsidR="00F549AB" w:rsidRDefault="00F549AB" w:rsidP="007079E9">
            <w:pPr>
              <w:spacing w:after="0" w:line="240" w:lineRule="auto"/>
              <w:rPr>
                <w:rFonts w:ascii="Arial" w:hAnsi="Arial" w:cs="Arial"/>
                <w:sz w:val="24"/>
                <w:szCs w:val="24"/>
              </w:rPr>
            </w:pPr>
          </w:p>
          <w:p w14:paraId="15C63798" w14:textId="77777777" w:rsidR="00F549AB" w:rsidRDefault="00F549AB" w:rsidP="007079E9">
            <w:pPr>
              <w:spacing w:after="0" w:line="240" w:lineRule="auto"/>
              <w:rPr>
                <w:rFonts w:ascii="Arial" w:hAnsi="Arial" w:cs="Arial"/>
                <w:sz w:val="24"/>
                <w:szCs w:val="24"/>
              </w:rPr>
            </w:pPr>
          </w:p>
          <w:p w14:paraId="06632208" w14:textId="0BDE9049" w:rsidR="00F352ED" w:rsidRDefault="00F352ED" w:rsidP="007079E9">
            <w:pPr>
              <w:spacing w:after="0" w:line="240" w:lineRule="auto"/>
              <w:rPr>
                <w:rFonts w:ascii="Arial" w:hAnsi="Arial" w:cs="Arial"/>
                <w:sz w:val="24"/>
                <w:szCs w:val="24"/>
              </w:rPr>
            </w:pPr>
          </w:p>
          <w:p w14:paraId="4C1B5F83" w14:textId="77777777" w:rsidR="000762D8" w:rsidRDefault="000762D8" w:rsidP="007079E9">
            <w:pPr>
              <w:spacing w:after="0" w:line="240" w:lineRule="auto"/>
              <w:rPr>
                <w:rFonts w:ascii="Arial" w:hAnsi="Arial" w:cs="Arial"/>
                <w:sz w:val="24"/>
                <w:szCs w:val="24"/>
              </w:rPr>
            </w:pPr>
          </w:p>
        </w:tc>
        <w:tc>
          <w:tcPr>
            <w:tcW w:w="8376" w:type="dxa"/>
            <w:tcBorders>
              <w:bottom w:val="nil"/>
            </w:tcBorders>
          </w:tcPr>
          <w:p w14:paraId="512BF716" w14:textId="77777777" w:rsidR="00F5207B" w:rsidRPr="00F81C7D" w:rsidRDefault="00F5207B" w:rsidP="007079E9">
            <w:pPr>
              <w:spacing w:after="0" w:line="240" w:lineRule="auto"/>
              <w:jc w:val="both"/>
              <w:rPr>
                <w:rFonts w:ascii="Arial" w:hAnsi="Arial" w:cs="Arial"/>
                <w:b/>
                <w:sz w:val="24"/>
                <w:szCs w:val="24"/>
                <w:u w:val="single"/>
              </w:rPr>
            </w:pPr>
            <w:r w:rsidRPr="00F81C7D">
              <w:rPr>
                <w:rFonts w:ascii="Arial" w:hAnsi="Arial" w:cs="Arial"/>
                <w:b/>
                <w:sz w:val="24"/>
                <w:szCs w:val="24"/>
                <w:u w:val="single"/>
              </w:rPr>
              <w:lastRenderedPageBreak/>
              <w:t>ISSUES FOR CONSIDERATION</w:t>
            </w:r>
          </w:p>
          <w:p w14:paraId="1EB2E04F" w14:textId="76CD15E6" w:rsidR="00F5207B" w:rsidRPr="00F81C7D" w:rsidRDefault="00F5207B" w:rsidP="007079E9">
            <w:pPr>
              <w:pStyle w:val="ListParagraph"/>
              <w:ind w:left="0"/>
              <w:jc w:val="both"/>
              <w:rPr>
                <w:rFonts w:ascii="Arial" w:hAnsi="Arial" w:cs="Arial"/>
              </w:rPr>
            </w:pPr>
            <w:r w:rsidRPr="00F81C7D">
              <w:rPr>
                <w:rFonts w:ascii="Arial" w:hAnsi="Arial" w:cs="Arial"/>
              </w:rPr>
              <w:t xml:space="preserve">As an integral part of the annual budget setting process, the Commissioner (via </w:t>
            </w:r>
            <w:r w:rsidR="00D542AA">
              <w:rPr>
                <w:rFonts w:ascii="Arial" w:hAnsi="Arial" w:cs="Arial"/>
              </w:rPr>
              <w:t>the</w:t>
            </w:r>
            <w:r w:rsidRPr="00F81C7D">
              <w:rPr>
                <w:rFonts w:ascii="Arial" w:hAnsi="Arial" w:cs="Arial"/>
              </w:rPr>
              <w:t xml:space="preserve"> CFO and the Finance Department) considers the establishment and maintenance of reserves</w:t>
            </w:r>
            <w:r w:rsidR="009D26BE" w:rsidRPr="00F81C7D">
              <w:rPr>
                <w:rFonts w:ascii="Arial" w:hAnsi="Arial" w:cs="Arial"/>
              </w:rPr>
              <w:t xml:space="preserve"> and committed funds</w:t>
            </w:r>
            <w:r w:rsidRPr="00F81C7D">
              <w:rPr>
                <w:rFonts w:ascii="Arial" w:hAnsi="Arial" w:cs="Arial"/>
              </w:rPr>
              <w:t>.  The Commissioner’s reserves</w:t>
            </w:r>
            <w:r w:rsidR="000B29AA" w:rsidRPr="00F81C7D">
              <w:rPr>
                <w:rFonts w:ascii="Arial" w:hAnsi="Arial" w:cs="Arial"/>
              </w:rPr>
              <w:t xml:space="preserve"> and committed funds</w:t>
            </w:r>
            <w:r w:rsidRPr="00F81C7D">
              <w:rPr>
                <w:rFonts w:ascii="Arial" w:hAnsi="Arial" w:cs="Arial"/>
              </w:rPr>
              <w:t xml:space="preserve"> are held for three main purposes:</w:t>
            </w:r>
          </w:p>
          <w:p w14:paraId="4F53FDF5" w14:textId="77777777" w:rsidR="00F5207B" w:rsidRPr="00F81C7D" w:rsidRDefault="00F5207B" w:rsidP="007079E9">
            <w:pPr>
              <w:pStyle w:val="ListParagraph"/>
              <w:ind w:left="0"/>
              <w:rPr>
                <w:rFonts w:ascii="Arial" w:hAnsi="Arial" w:cs="Arial"/>
              </w:rPr>
            </w:pPr>
          </w:p>
          <w:p w14:paraId="6DF62E14" w14:textId="57D95D65" w:rsidR="00FC6C63" w:rsidRDefault="00F5207B" w:rsidP="007079E9">
            <w:pPr>
              <w:pStyle w:val="ListParagraph"/>
              <w:numPr>
                <w:ilvl w:val="0"/>
                <w:numId w:val="8"/>
              </w:numPr>
              <w:autoSpaceDE w:val="0"/>
              <w:autoSpaceDN w:val="0"/>
              <w:ind w:left="357" w:hanging="357"/>
              <w:jc w:val="both"/>
              <w:rPr>
                <w:rFonts w:ascii="Arial" w:hAnsi="Arial" w:cs="Arial"/>
              </w:rPr>
            </w:pPr>
            <w:r w:rsidRPr="00FC6C63">
              <w:rPr>
                <w:rFonts w:ascii="Arial" w:hAnsi="Arial" w:cs="Arial"/>
              </w:rPr>
              <w:t xml:space="preserve">As ‘working capital’ to help cushion the impact of uneven cash flows, thereby avoiding unnecessary temporary borrowing (e.g. the timing of </w:t>
            </w:r>
            <w:r w:rsidR="007079E9">
              <w:rPr>
                <w:rFonts w:ascii="Arial" w:hAnsi="Arial" w:cs="Arial"/>
              </w:rPr>
              <w:t>Government G</w:t>
            </w:r>
            <w:r w:rsidRPr="00FC6C63">
              <w:rPr>
                <w:rFonts w:ascii="Arial" w:hAnsi="Arial" w:cs="Arial"/>
              </w:rPr>
              <w:t xml:space="preserve">rant or </w:t>
            </w:r>
            <w:r w:rsidR="007079E9">
              <w:rPr>
                <w:rFonts w:ascii="Arial" w:hAnsi="Arial" w:cs="Arial"/>
              </w:rPr>
              <w:t>Council Tax P</w:t>
            </w:r>
            <w:r w:rsidRPr="00FC6C63">
              <w:rPr>
                <w:rFonts w:ascii="Arial" w:hAnsi="Arial" w:cs="Arial"/>
              </w:rPr>
              <w:t>recept receipts may not coincide with large payment runs</w:t>
            </w:r>
            <w:r w:rsidR="00956F91" w:rsidRPr="00FC6C63">
              <w:rPr>
                <w:rFonts w:ascii="Arial" w:hAnsi="Arial" w:cs="Arial"/>
              </w:rPr>
              <w:t>,</w:t>
            </w:r>
            <w:r w:rsidRPr="00FC6C63">
              <w:rPr>
                <w:rFonts w:ascii="Arial" w:hAnsi="Arial" w:cs="Arial"/>
              </w:rPr>
              <w:t xml:space="preserve"> such as the monthly payroll coinciding with large contractual commitments) – This forms part of the General Reserve, which is revenue in nature;</w:t>
            </w:r>
          </w:p>
          <w:p w14:paraId="63CAD657" w14:textId="22929F4E" w:rsidR="00901EC0" w:rsidRPr="00FC6C63" w:rsidRDefault="00F5207B" w:rsidP="007079E9">
            <w:pPr>
              <w:pStyle w:val="ListParagraph"/>
              <w:numPr>
                <w:ilvl w:val="0"/>
                <w:numId w:val="8"/>
              </w:numPr>
              <w:autoSpaceDE w:val="0"/>
              <w:autoSpaceDN w:val="0"/>
              <w:ind w:left="357" w:hanging="357"/>
              <w:jc w:val="both"/>
              <w:rPr>
                <w:rFonts w:ascii="Arial" w:hAnsi="Arial" w:cs="Arial"/>
              </w:rPr>
            </w:pPr>
            <w:r w:rsidRPr="00FC6C63">
              <w:rPr>
                <w:rFonts w:ascii="Arial" w:hAnsi="Arial" w:cs="Arial"/>
              </w:rPr>
              <w:t xml:space="preserve">As a contingency to mitigate the impact of unexpected events or emergencies (e.g. a complex/high profile murder case) – this too forms part of the General Reserve; </w:t>
            </w:r>
            <w:r w:rsidR="002C77A0" w:rsidRPr="00FC6C63">
              <w:rPr>
                <w:rFonts w:ascii="Arial" w:hAnsi="Arial" w:cs="Arial"/>
              </w:rPr>
              <w:t>and</w:t>
            </w:r>
          </w:p>
          <w:p w14:paraId="778DAC02" w14:textId="3812F991" w:rsidR="00F5207B" w:rsidRPr="00F81C7D" w:rsidRDefault="005C4423" w:rsidP="007079E9">
            <w:pPr>
              <w:pStyle w:val="ListParagraph"/>
              <w:numPr>
                <w:ilvl w:val="0"/>
                <w:numId w:val="8"/>
              </w:numPr>
              <w:autoSpaceDE w:val="0"/>
              <w:autoSpaceDN w:val="0"/>
              <w:ind w:left="357" w:hanging="357"/>
              <w:jc w:val="both"/>
              <w:rPr>
                <w:rFonts w:ascii="Arial" w:hAnsi="Arial" w:cs="Arial"/>
              </w:rPr>
            </w:pPr>
            <w:r w:rsidRPr="00F81C7D">
              <w:rPr>
                <w:rFonts w:ascii="Arial" w:hAnsi="Arial" w:cs="Arial"/>
              </w:rPr>
              <w:t>A</w:t>
            </w:r>
            <w:r w:rsidR="00F5207B" w:rsidRPr="00F81C7D">
              <w:rPr>
                <w:rFonts w:ascii="Arial" w:hAnsi="Arial" w:cs="Arial"/>
              </w:rPr>
              <w:t>s a means of ring-fencing or building up funds, often referred to as Earmarked Reserves</w:t>
            </w:r>
            <w:r w:rsidR="00F65AC0" w:rsidRPr="00F81C7D">
              <w:rPr>
                <w:rFonts w:ascii="Arial" w:hAnsi="Arial" w:cs="Arial"/>
              </w:rPr>
              <w:t xml:space="preserve"> or Committed Funds</w:t>
            </w:r>
            <w:r w:rsidR="00383F8E" w:rsidRPr="00F81C7D">
              <w:rPr>
                <w:rFonts w:ascii="Arial" w:hAnsi="Arial" w:cs="Arial"/>
              </w:rPr>
              <w:t xml:space="preserve"> (referred to hereon as Committed Funds)</w:t>
            </w:r>
            <w:r w:rsidR="00F5207B" w:rsidRPr="00F81C7D">
              <w:rPr>
                <w:rFonts w:ascii="Arial" w:hAnsi="Arial" w:cs="Arial"/>
              </w:rPr>
              <w:t>, to meet known or predicted requirements – these are accounted for separately from the General Reserve and can be either</w:t>
            </w:r>
            <w:r w:rsidRPr="00F81C7D">
              <w:rPr>
                <w:rFonts w:ascii="Arial" w:hAnsi="Arial" w:cs="Arial"/>
              </w:rPr>
              <w:t xml:space="preserve"> revenue or capital in nature</w:t>
            </w:r>
            <w:r w:rsidR="00034898">
              <w:rPr>
                <w:rFonts w:ascii="Arial" w:hAnsi="Arial" w:cs="Arial"/>
              </w:rPr>
              <w:t>.</w:t>
            </w:r>
          </w:p>
          <w:p w14:paraId="110CB1DB" w14:textId="77777777" w:rsidR="002C77A0" w:rsidRPr="00F81C7D" w:rsidRDefault="002C77A0" w:rsidP="007079E9">
            <w:pPr>
              <w:pStyle w:val="ListParagraph"/>
              <w:autoSpaceDE w:val="0"/>
              <w:autoSpaceDN w:val="0"/>
              <w:ind w:left="360"/>
              <w:jc w:val="both"/>
              <w:rPr>
                <w:rFonts w:ascii="Arial" w:hAnsi="Arial" w:cs="Arial"/>
              </w:rPr>
            </w:pPr>
          </w:p>
          <w:p w14:paraId="2F0FCC0B" w14:textId="77777777" w:rsidR="005C4423" w:rsidRPr="00F81C7D" w:rsidRDefault="005C4423" w:rsidP="007079E9">
            <w:pPr>
              <w:pStyle w:val="ListParagraph"/>
              <w:autoSpaceDE w:val="0"/>
              <w:autoSpaceDN w:val="0"/>
              <w:ind w:left="0"/>
              <w:jc w:val="both"/>
              <w:rPr>
                <w:rFonts w:ascii="Arial" w:hAnsi="Arial" w:cs="Arial"/>
              </w:rPr>
            </w:pPr>
            <w:r w:rsidRPr="00F81C7D">
              <w:rPr>
                <w:rFonts w:ascii="Arial" w:hAnsi="Arial" w:cs="Arial"/>
              </w:rPr>
              <w:t>The</w:t>
            </w:r>
            <w:r w:rsidR="005F15A5" w:rsidRPr="00F81C7D">
              <w:rPr>
                <w:rFonts w:ascii="Arial" w:hAnsi="Arial" w:cs="Arial"/>
              </w:rPr>
              <w:t xml:space="preserve"> following table identifies the broad </w:t>
            </w:r>
            <w:r w:rsidRPr="00F81C7D">
              <w:rPr>
                <w:rFonts w:ascii="Arial" w:hAnsi="Arial" w:cs="Arial"/>
              </w:rPr>
              <w:t>categories of Committed Funds held by the Commissioner</w:t>
            </w:r>
            <w:r w:rsidR="00CB12A0">
              <w:rPr>
                <w:rFonts w:ascii="Arial" w:hAnsi="Arial" w:cs="Arial"/>
              </w:rPr>
              <w:t>:</w:t>
            </w:r>
          </w:p>
          <w:p w14:paraId="0C137F4A" w14:textId="77777777" w:rsidR="00EB55AB" w:rsidRPr="00F81C7D" w:rsidRDefault="00EB55AB" w:rsidP="007079E9">
            <w:pPr>
              <w:pStyle w:val="ListParagraph"/>
              <w:autoSpaceDE w:val="0"/>
              <w:autoSpaceDN w:val="0"/>
              <w:jc w:val="both"/>
              <w:rPr>
                <w:rFonts w:ascii="Arial" w:hAnsi="Arial" w:cs="Arial"/>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996"/>
            </w:tblGrid>
            <w:tr w:rsidR="00F5207B" w:rsidRPr="00F81C7D" w14:paraId="751D1986" w14:textId="77777777" w:rsidTr="00FC6C63">
              <w:tc>
                <w:tcPr>
                  <w:tcW w:w="3850" w:type="dxa"/>
                </w:tcPr>
                <w:p w14:paraId="630703AF" w14:textId="77777777" w:rsidR="00F5207B" w:rsidRPr="00F81C7D" w:rsidRDefault="00F5207B" w:rsidP="007079E9">
                  <w:pPr>
                    <w:pStyle w:val="ListParagraph"/>
                    <w:autoSpaceDE w:val="0"/>
                    <w:autoSpaceDN w:val="0"/>
                    <w:ind w:left="0"/>
                    <w:jc w:val="both"/>
                    <w:rPr>
                      <w:rFonts w:ascii="Arial" w:hAnsi="Arial" w:cs="Arial"/>
                      <w:b/>
                    </w:rPr>
                  </w:pPr>
                  <w:r w:rsidRPr="00F81C7D">
                    <w:rPr>
                      <w:rFonts w:ascii="Arial" w:hAnsi="Arial" w:cs="Arial"/>
                      <w:b/>
                    </w:rPr>
                    <w:t xml:space="preserve">Category of </w:t>
                  </w:r>
                  <w:r w:rsidR="00383F8E" w:rsidRPr="00F81C7D">
                    <w:rPr>
                      <w:rFonts w:ascii="Arial" w:hAnsi="Arial" w:cs="Arial"/>
                      <w:b/>
                    </w:rPr>
                    <w:t>Committed Funds</w:t>
                  </w:r>
                </w:p>
              </w:tc>
              <w:tc>
                <w:tcPr>
                  <w:tcW w:w="3996" w:type="dxa"/>
                </w:tcPr>
                <w:p w14:paraId="1F254D8F" w14:textId="77777777" w:rsidR="00F5207B" w:rsidRPr="00F81C7D" w:rsidRDefault="00F5207B" w:rsidP="007079E9">
                  <w:pPr>
                    <w:pStyle w:val="ListParagraph"/>
                    <w:autoSpaceDE w:val="0"/>
                    <w:autoSpaceDN w:val="0"/>
                    <w:ind w:left="0"/>
                    <w:jc w:val="both"/>
                    <w:rPr>
                      <w:rFonts w:ascii="Arial" w:hAnsi="Arial" w:cs="Arial"/>
                      <w:b/>
                    </w:rPr>
                  </w:pPr>
                  <w:r w:rsidRPr="00F81C7D">
                    <w:rPr>
                      <w:rFonts w:ascii="Arial" w:hAnsi="Arial" w:cs="Arial"/>
                      <w:b/>
                    </w:rPr>
                    <w:t>Rationale for Holding</w:t>
                  </w:r>
                </w:p>
              </w:tc>
            </w:tr>
            <w:tr w:rsidR="00F5207B" w:rsidRPr="00F81C7D" w14:paraId="628A47F8" w14:textId="77777777" w:rsidTr="00FC6C63">
              <w:tc>
                <w:tcPr>
                  <w:tcW w:w="3850" w:type="dxa"/>
                </w:tcPr>
                <w:p w14:paraId="31F88DA8" w14:textId="77777777" w:rsidR="00F5207B" w:rsidRPr="00F81C7D" w:rsidRDefault="003B3454" w:rsidP="007079E9">
                  <w:pPr>
                    <w:pStyle w:val="ListParagraph"/>
                    <w:autoSpaceDE w:val="0"/>
                    <w:autoSpaceDN w:val="0"/>
                    <w:ind w:left="0"/>
                    <w:jc w:val="both"/>
                    <w:rPr>
                      <w:rFonts w:ascii="Arial" w:hAnsi="Arial" w:cs="Arial"/>
                    </w:rPr>
                  </w:pPr>
                  <w:r w:rsidRPr="00F81C7D">
                    <w:rPr>
                      <w:rFonts w:ascii="Arial" w:hAnsi="Arial" w:cs="Arial"/>
                    </w:rPr>
                    <w:t xml:space="preserve">Committed </w:t>
                  </w:r>
                  <w:r w:rsidR="00383F8E" w:rsidRPr="00F81C7D">
                    <w:rPr>
                      <w:rFonts w:ascii="Arial" w:hAnsi="Arial" w:cs="Arial"/>
                    </w:rPr>
                    <w:t>Funds</w:t>
                  </w:r>
                  <w:r w:rsidR="00F5207B" w:rsidRPr="00F81C7D">
                    <w:rPr>
                      <w:rFonts w:ascii="Arial" w:hAnsi="Arial" w:cs="Arial"/>
                    </w:rPr>
                    <w:t xml:space="preserve"> set aside for major schemes, such as capital developments, or </w:t>
                  </w:r>
                  <w:r w:rsidR="009263B6" w:rsidRPr="00F81C7D">
                    <w:rPr>
                      <w:rFonts w:ascii="Arial" w:hAnsi="Arial" w:cs="Arial"/>
                    </w:rPr>
                    <w:t xml:space="preserve">to </w:t>
                  </w:r>
                  <w:r w:rsidR="00F5207B" w:rsidRPr="00F81C7D">
                    <w:rPr>
                      <w:rFonts w:ascii="Arial" w:hAnsi="Arial" w:cs="Arial"/>
                    </w:rPr>
                    <w:t>fund major reorganisation</w:t>
                  </w:r>
                  <w:r w:rsidR="009263B6" w:rsidRPr="00F81C7D">
                    <w:rPr>
                      <w:rFonts w:ascii="Arial" w:hAnsi="Arial" w:cs="Arial"/>
                    </w:rPr>
                    <w:t>s</w:t>
                  </w:r>
                  <w:r w:rsidR="00F5207B" w:rsidRPr="00F81C7D">
                    <w:rPr>
                      <w:rFonts w:ascii="Arial" w:hAnsi="Arial" w:cs="Arial"/>
                    </w:rPr>
                    <w:t xml:space="preserve"> such as th</w:t>
                  </w:r>
                  <w:r w:rsidR="005E439C">
                    <w:rPr>
                      <w:rFonts w:ascii="Arial" w:hAnsi="Arial" w:cs="Arial"/>
                    </w:rPr>
                    <w:t>ose determined by the Service Improvement Board</w:t>
                  </w:r>
                  <w:r w:rsidR="00F5207B" w:rsidRPr="00F81C7D">
                    <w:rPr>
                      <w:rFonts w:ascii="Arial" w:hAnsi="Arial" w:cs="Arial"/>
                    </w:rPr>
                    <w:t>.</w:t>
                  </w:r>
                </w:p>
                <w:p w14:paraId="275F2FFD" w14:textId="77777777" w:rsidR="007113FB" w:rsidRPr="00F81C7D" w:rsidRDefault="007113FB" w:rsidP="007079E9">
                  <w:pPr>
                    <w:pStyle w:val="ListParagraph"/>
                    <w:autoSpaceDE w:val="0"/>
                    <w:autoSpaceDN w:val="0"/>
                    <w:ind w:left="0"/>
                    <w:jc w:val="both"/>
                    <w:rPr>
                      <w:rFonts w:ascii="Arial" w:hAnsi="Arial" w:cs="Arial"/>
                    </w:rPr>
                  </w:pPr>
                </w:p>
                <w:p w14:paraId="09C0BB1B"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41D6A525" w14:textId="7CBD55E9"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lastRenderedPageBreak/>
                    <w:t xml:space="preserve">Where expenditure is planned in future accounting periods, it is prudent to set aside resources in advance.  For example, to fund </w:t>
                  </w:r>
                  <w:r w:rsidR="00932BE1">
                    <w:rPr>
                      <w:rFonts w:ascii="Arial" w:hAnsi="Arial" w:cs="Arial"/>
                    </w:rPr>
                    <w:t xml:space="preserve">the </w:t>
                  </w:r>
                  <w:r w:rsidRPr="00F81C7D">
                    <w:rPr>
                      <w:rFonts w:ascii="Arial" w:hAnsi="Arial" w:cs="Arial"/>
                    </w:rPr>
                    <w:t xml:space="preserve">future </w:t>
                  </w:r>
                  <w:r w:rsidR="00FC6C63">
                    <w:rPr>
                      <w:rFonts w:ascii="Arial" w:hAnsi="Arial" w:cs="Arial"/>
                    </w:rPr>
                    <w:t>C</w:t>
                  </w:r>
                  <w:r w:rsidRPr="00F81C7D">
                    <w:rPr>
                      <w:rFonts w:ascii="Arial" w:hAnsi="Arial" w:cs="Arial"/>
                    </w:rPr>
                    <w:t xml:space="preserve">apital </w:t>
                  </w:r>
                  <w:r w:rsidR="00FC6C63">
                    <w:rPr>
                      <w:rFonts w:ascii="Arial" w:hAnsi="Arial" w:cs="Arial"/>
                    </w:rPr>
                    <w:t>P</w:t>
                  </w:r>
                  <w:r w:rsidRPr="00F81C7D">
                    <w:rPr>
                      <w:rFonts w:ascii="Arial" w:hAnsi="Arial" w:cs="Arial"/>
                    </w:rPr>
                    <w:t xml:space="preserve">rogramme spend </w:t>
                  </w:r>
                  <w:r w:rsidR="00932BE1">
                    <w:rPr>
                      <w:rFonts w:ascii="Arial" w:hAnsi="Arial" w:cs="Arial"/>
                    </w:rPr>
                    <w:t>to avoid borrowing costs</w:t>
                  </w:r>
                  <w:r w:rsidR="00956F91">
                    <w:rPr>
                      <w:rFonts w:ascii="Arial" w:hAnsi="Arial" w:cs="Arial"/>
                    </w:rPr>
                    <w:t>,</w:t>
                  </w:r>
                  <w:r w:rsidRPr="00F81C7D">
                    <w:rPr>
                      <w:rFonts w:ascii="Arial" w:hAnsi="Arial" w:cs="Arial"/>
                    </w:rPr>
                    <w:t xml:space="preserve"> or to p</w:t>
                  </w:r>
                  <w:r w:rsidR="005E439C">
                    <w:rPr>
                      <w:rFonts w:ascii="Arial" w:hAnsi="Arial" w:cs="Arial"/>
                    </w:rPr>
                    <w:t>ump-</w:t>
                  </w:r>
                  <w:r w:rsidR="005E439C">
                    <w:rPr>
                      <w:rFonts w:ascii="Arial" w:hAnsi="Arial" w:cs="Arial"/>
                    </w:rPr>
                    <w:lastRenderedPageBreak/>
                    <w:t>prime organisational change programmes</w:t>
                  </w:r>
                  <w:r w:rsidRPr="00F81C7D">
                    <w:rPr>
                      <w:rFonts w:ascii="Arial" w:hAnsi="Arial" w:cs="Arial"/>
                    </w:rPr>
                    <w:t xml:space="preserve">. </w:t>
                  </w:r>
                </w:p>
              </w:tc>
            </w:tr>
            <w:tr w:rsidR="00FC6C63" w:rsidRPr="00F81C7D" w14:paraId="17F5F24F" w14:textId="77777777" w:rsidTr="00E100FA">
              <w:tc>
                <w:tcPr>
                  <w:tcW w:w="3850" w:type="dxa"/>
                </w:tcPr>
                <w:p w14:paraId="61FF9073" w14:textId="097B114F"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lastRenderedPageBreak/>
                    <w:t>Other Committed funds to support the medium</w:t>
                  </w:r>
                  <w:r>
                    <w:rPr>
                      <w:rFonts w:ascii="Arial" w:hAnsi="Arial" w:cs="Arial"/>
                    </w:rPr>
                    <w:t>-</w:t>
                  </w:r>
                  <w:r w:rsidRPr="00F81C7D">
                    <w:rPr>
                      <w:rFonts w:ascii="Arial" w:hAnsi="Arial" w:cs="Arial"/>
                    </w:rPr>
                    <w:t>term budget E.g. Forecast Accelerated Efficiency Savings.</w:t>
                  </w:r>
                </w:p>
                <w:p w14:paraId="24556984" w14:textId="77777777" w:rsidR="00FC6C63" w:rsidRPr="00F81C7D" w:rsidRDefault="00FC6C63" w:rsidP="007079E9">
                  <w:pPr>
                    <w:pStyle w:val="ListParagraph"/>
                    <w:autoSpaceDE w:val="0"/>
                    <w:autoSpaceDN w:val="0"/>
                    <w:ind w:left="0"/>
                    <w:jc w:val="both"/>
                    <w:rPr>
                      <w:rFonts w:ascii="Arial" w:hAnsi="Arial" w:cs="Arial"/>
                    </w:rPr>
                  </w:pPr>
                </w:p>
                <w:p w14:paraId="7BBDA958" w14:textId="77777777" w:rsidR="00FC6C63" w:rsidRPr="00F81C7D" w:rsidRDefault="00FC6C63" w:rsidP="007079E9">
                  <w:pPr>
                    <w:pStyle w:val="ListParagraph"/>
                    <w:autoSpaceDE w:val="0"/>
                    <w:autoSpaceDN w:val="0"/>
                    <w:ind w:left="0"/>
                    <w:jc w:val="both"/>
                    <w:rPr>
                      <w:rFonts w:ascii="Arial" w:hAnsi="Arial" w:cs="Arial"/>
                    </w:rPr>
                  </w:pPr>
                </w:p>
              </w:tc>
              <w:tc>
                <w:tcPr>
                  <w:tcW w:w="3996" w:type="dxa"/>
                </w:tcPr>
                <w:p w14:paraId="36167E3E" w14:textId="77777777"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t>These are reserves and committed funds, which are either planned to be generated in the future and as such, may not yet have been committed to fund expenditure as of yet; or are existing reserves, which by their nature of being no longer required, are available for recycling either fully or in part to fund other committed areas of expenditure.</w:t>
                  </w:r>
                </w:p>
              </w:tc>
            </w:tr>
            <w:tr w:rsidR="00FC6C63" w:rsidRPr="00F81C7D" w14:paraId="142935BA" w14:textId="77777777" w:rsidTr="00FC6C63">
              <w:tc>
                <w:tcPr>
                  <w:tcW w:w="3850" w:type="dxa"/>
                </w:tcPr>
                <w:p w14:paraId="31C89A6E" w14:textId="77777777" w:rsidR="00FC6C63" w:rsidRPr="00F81C7D" w:rsidRDefault="00FC6C63" w:rsidP="007079E9">
                  <w:pPr>
                    <w:pStyle w:val="ListParagraph"/>
                    <w:autoSpaceDE w:val="0"/>
                    <w:autoSpaceDN w:val="0"/>
                    <w:ind w:left="0"/>
                    <w:jc w:val="both"/>
                    <w:rPr>
                      <w:rFonts w:ascii="Arial" w:hAnsi="Arial" w:cs="Arial"/>
                    </w:rPr>
                  </w:pPr>
                  <w:r w:rsidRPr="00F81C7D">
                    <w:rPr>
                      <w:rFonts w:ascii="Arial" w:hAnsi="Arial" w:cs="Arial"/>
                    </w:rPr>
                    <w:t>Committed Funds to meet and manage forecast budgetary risks.</w:t>
                  </w:r>
                </w:p>
                <w:p w14:paraId="77D929AD" w14:textId="77777777" w:rsidR="00FC6C63" w:rsidRPr="00F81C7D" w:rsidRDefault="00FC6C63" w:rsidP="007079E9">
                  <w:pPr>
                    <w:pStyle w:val="ListParagraph"/>
                    <w:autoSpaceDE w:val="0"/>
                    <w:autoSpaceDN w:val="0"/>
                    <w:ind w:left="0"/>
                    <w:jc w:val="both"/>
                    <w:rPr>
                      <w:rFonts w:ascii="Arial" w:hAnsi="Arial" w:cs="Arial"/>
                    </w:rPr>
                  </w:pPr>
                </w:p>
                <w:p w14:paraId="6120C922" w14:textId="77777777" w:rsidR="00FC6C63" w:rsidRPr="00F81C7D" w:rsidRDefault="00FC6C63" w:rsidP="007079E9">
                  <w:pPr>
                    <w:pStyle w:val="ListParagraph"/>
                    <w:autoSpaceDE w:val="0"/>
                    <w:autoSpaceDN w:val="0"/>
                    <w:ind w:left="0"/>
                    <w:jc w:val="both"/>
                    <w:rPr>
                      <w:rFonts w:ascii="Arial" w:hAnsi="Arial" w:cs="Arial"/>
                    </w:rPr>
                  </w:pPr>
                </w:p>
                <w:p w14:paraId="41D0FDC9" w14:textId="77777777" w:rsidR="00FC6C63" w:rsidRPr="00F81C7D" w:rsidRDefault="00FC6C63" w:rsidP="007079E9">
                  <w:pPr>
                    <w:pStyle w:val="ListParagraph"/>
                    <w:autoSpaceDE w:val="0"/>
                    <w:autoSpaceDN w:val="0"/>
                    <w:ind w:left="0"/>
                    <w:jc w:val="both"/>
                    <w:rPr>
                      <w:rFonts w:ascii="Arial" w:hAnsi="Arial" w:cs="Arial"/>
                    </w:rPr>
                  </w:pPr>
                </w:p>
              </w:tc>
              <w:tc>
                <w:tcPr>
                  <w:tcW w:w="3996" w:type="dxa"/>
                </w:tcPr>
                <w:p w14:paraId="09A4D918" w14:textId="08F74830" w:rsidR="00FC6C63" w:rsidRPr="00E30BD3" w:rsidRDefault="00FC6C63" w:rsidP="007079E9">
                  <w:pPr>
                    <w:pStyle w:val="ListParagraph"/>
                    <w:autoSpaceDE w:val="0"/>
                    <w:autoSpaceDN w:val="0"/>
                    <w:ind w:left="0"/>
                    <w:jc w:val="both"/>
                    <w:rPr>
                      <w:rFonts w:ascii="Arial" w:hAnsi="Arial" w:cs="Arial"/>
                    </w:rPr>
                  </w:pPr>
                  <w:r w:rsidRPr="00E30BD3">
                    <w:rPr>
                      <w:rFonts w:ascii="Arial" w:hAnsi="Arial" w:cs="Arial"/>
                    </w:rPr>
                    <w:t>With £5</w:t>
                  </w:r>
                  <w:r w:rsidR="002C3E66">
                    <w:rPr>
                      <w:rFonts w:ascii="Arial" w:hAnsi="Arial" w:cs="Arial"/>
                    </w:rPr>
                    <w:t>4</w:t>
                  </w:r>
                  <w:r w:rsidR="00EE696B" w:rsidRPr="00E30BD3">
                    <w:rPr>
                      <w:rFonts w:ascii="Arial" w:hAnsi="Arial" w:cs="Arial"/>
                    </w:rPr>
                    <w:t>.</w:t>
                  </w:r>
                  <w:r w:rsidR="002C3E66">
                    <w:rPr>
                      <w:rFonts w:ascii="Arial" w:hAnsi="Arial" w:cs="Arial"/>
                    </w:rPr>
                    <w:t>914</w:t>
                  </w:r>
                  <w:r w:rsidRPr="00E30BD3">
                    <w:rPr>
                      <w:rFonts w:ascii="Arial" w:hAnsi="Arial" w:cs="Arial"/>
                    </w:rPr>
                    <w:t>m of efficiency savings delivered to the end of the 202</w:t>
                  </w:r>
                  <w:r w:rsidR="002C3E66">
                    <w:rPr>
                      <w:rFonts w:ascii="Arial" w:hAnsi="Arial" w:cs="Arial"/>
                    </w:rPr>
                    <w:t>3</w:t>
                  </w:r>
                  <w:r w:rsidR="00EE696B" w:rsidRPr="00E30BD3">
                    <w:rPr>
                      <w:rFonts w:ascii="Arial" w:hAnsi="Arial" w:cs="Arial"/>
                    </w:rPr>
                    <w:t>/2</w:t>
                  </w:r>
                  <w:r w:rsidR="002C3E66">
                    <w:rPr>
                      <w:rFonts w:ascii="Arial" w:hAnsi="Arial" w:cs="Arial"/>
                    </w:rPr>
                    <w:t>4</w:t>
                  </w:r>
                  <w:r w:rsidRPr="00E30BD3">
                    <w:rPr>
                      <w:rFonts w:ascii="Arial" w:hAnsi="Arial" w:cs="Arial"/>
                    </w:rPr>
                    <w:t xml:space="preserve"> financial year; £</w:t>
                  </w:r>
                  <w:r w:rsidR="00EE696B" w:rsidRPr="00E30BD3">
                    <w:rPr>
                      <w:rFonts w:ascii="Arial" w:hAnsi="Arial" w:cs="Arial"/>
                    </w:rPr>
                    <w:t>0.698</w:t>
                  </w:r>
                  <w:r w:rsidRPr="00E30BD3">
                    <w:rPr>
                      <w:rFonts w:ascii="Arial" w:hAnsi="Arial" w:cs="Arial"/>
                    </w:rPr>
                    <w:t>m planned for delivery during 202</w:t>
                  </w:r>
                  <w:r w:rsidR="002C3E66">
                    <w:rPr>
                      <w:rFonts w:ascii="Arial" w:hAnsi="Arial" w:cs="Arial"/>
                    </w:rPr>
                    <w:t>4</w:t>
                  </w:r>
                  <w:r w:rsidR="00EE696B" w:rsidRPr="00E30BD3">
                    <w:rPr>
                      <w:rFonts w:ascii="Arial" w:hAnsi="Arial" w:cs="Arial"/>
                    </w:rPr>
                    <w:t>/2</w:t>
                  </w:r>
                  <w:r w:rsidR="002C3E66">
                    <w:rPr>
                      <w:rFonts w:ascii="Arial" w:hAnsi="Arial" w:cs="Arial"/>
                    </w:rPr>
                    <w:t>5</w:t>
                  </w:r>
                  <w:r w:rsidRPr="00E30BD3">
                    <w:rPr>
                      <w:rFonts w:ascii="Arial" w:hAnsi="Arial" w:cs="Arial"/>
                    </w:rPr>
                    <w:t xml:space="preserve">; and a gross forecast deficit of </w:t>
                  </w:r>
                  <w:r w:rsidRPr="00E100EB">
                    <w:rPr>
                      <w:rFonts w:ascii="Arial" w:hAnsi="Arial" w:cs="Arial"/>
                    </w:rPr>
                    <w:t>£</w:t>
                  </w:r>
                  <w:r w:rsidR="00E100EB" w:rsidRPr="00E100EB">
                    <w:rPr>
                      <w:rFonts w:ascii="Arial" w:hAnsi="Arial" w:cs="Arial"/>
                    </w:rPr>
                    <w:t>9.994</w:t>
                  </w:r>
                  <w:r w:rsidRPr="00E100EB">
                    <w:rPr>
                      <w:rFonts w:ascii="Arial" w:hAnsi="Arial" w:cs="Arial"/>
                    </w:rPr>
                    <w:t>m</w:t>
                  </w:r>
                  <w:r w:rsidRPr="00E30BD3">
                    <w:rPr>
                      <w:rFonts w:ascii="Arial" w:hAnsi="Arial" w:cs="Arial"/>
                    </w:rPr>
                    <w:t xml:space="preserve"> by 202</w:t>
                  </w:r>
                  <w:r w:rsidR="002C3E66">
                    <w:rPr>
                      <w:rFonts w:ascii="Arial" w:hAnsi="Arial" w:cs="Arial"/>
                    </w:rPr>
                    <w:t>9</w:t>
                  </w:r>
                  <w:r w:rsidR="00EE696B" w:rsidRPr="00E30BD3">
                    <w:rPr>
                      <w:rFonts w:ascii="Arial" w:hAnsi="Arial" w:cs="Arial"/>
                    </w:rPr>
                    <w:t>/</w:t>
                  </w:r>
                  <w:r w:rsidR="002C3E66">
                    <w:rPr>
                      <w:rFonts w:ascii="Arial" w:hAnsi="Arial" w:cs="Arial"/>
                    </w:rPr>
                    <w:t>30</w:t>
                  </w:r>
                  <w:r w:rsidRPr="00E30BD3">
                    <w:rPr>
                      <w:rFonts w:ascii="Arial" w:hAnsi="Arial" w:cs="Arial"/>
                    </w:rPr>
                    <w:t xml:space="preserve">, it is prudent to underwrite a degree of the budgetary imbalance remaining of </w:t>
                  </w:r>
                  <w:r w:rsidRPr="00E100EB">
                    <w:rPr>
                      <w:rFonts w:ascii="Arial" w:hAnsi="Arial" w:cs="Arial"/>
                    </w:rPr>
                    <w:t>£</w:t>
                  </w:r>
                  <w:r w:rsidR="00E100EB" w:rsidRPr="00E100EB">
                    <w:rPr>
                      <w:rFonts w:ascii="Arial" w:hAnsi="Arial" w:cs="Arial"/>
                    </w:rPr>
                    <w:t>8.614</w:t>
                  </w:r>
                  <w:r w:rsidR="00C0611E" w:rsidRPr="00E100EB">
                    <w:rPr>
                      <w:rFonts w:ascii="Arial" w:hAnsi="Arial" w:cs="Arial"/>
                    </w:rPr>
                    <w:t>m</w:t>
                  </w:r>
                  <w:r w:rsidRPr="00E30BD3">
                    <w:rPr>
                      <w:rFonts w:ascii="Arial" w:hAnsi="Arial" w:cs="Arial"/>
                    </w:rPr>
                    <w:t xml:space="preserve"> after taking into account future efficiency savings.</w:t>
                  </w:r>
                </w:p>
              </w:tc>
            </w:tr>
            <w:tr w:rsidR="003B3454" w:rsidRPr="00F81C7D" w14:paraId="73FB9E4F" w14:textId="77777777" w:rsidTr="00FC6C63">
              <w:tc>
                <w:tcPr>
                  <w:tcW w:w="3850" w:type="dxa"/>
                </w:tcPr>
                <w:p w14:paraId="6DF7D287" w14:textId="77777777" w:rsidR="003B3454" w:rsidRPr="00F81C7D" w:rsidRDefault="00383F8E" w:rsidP="007079E9">
                  <w:pPr>
                    <w:pStyle w:val="ListParagraph"/>
                    <w:autoSpaceDE w:val="0"/>
                    <w:autoSpaceDN w:val="0"/>
                    <w:ind w:left="0"/>
                    <w:jc w:val="both"/>
                    <w:rPr>
                      <w:rFonts w:ascii="Arial" w:hAnsi="Arial" w:cs="Arial"/>
                    </w:rPr>
                  </w:pPr>
                  <w:r w:rsidRPr="00F81C7D">
                    <w:rPr>
                      <w:rFonts w:ascii="Arial" w:hAnsi="Arial" w:cs="Arial"/>
                    </w:rPr>
                    <w:t>Committed Funds</w:t>
                  </w:r>
                  <w:r w:rsidR="003B3454" w:rsidRPr="00F81C7D">
                    <w:rPr>
                      <w:rFonts w:ascii="Arial" w:hAnsi="Arial" w:cs="Arial"/>
                    </w:rPr>
                    <w:t xml:space="preserve"> set aside in previous reporting periods for potential liabilities arising out of tribunal or ombudsman decisions</w:t>
                  </w:r>
                  <w:r w:rsidR="005F52D8" w:rsidRPr="00F81C7D">
                    <w:rPr>
                      <w:rFonts w:ascii="Arial" w:hAnsi="Arial" w:cs="Arial"/>
                    </w:rPr>
                    <w:t>.</w:t>
                  </w:r>
                </w:p>
                <w:p w14:paraId="5754724A" w14:textId="77777777" w:rsidR="007113FB" w:rsidRPr="00F81C7D" w:rsidRDefault="007113FB" w:rsidP="007079E9">
                  <w:pPr>
                    <w:pStyle w:val="ListParagraph"/>
                    <w:autoSpaceDE w:val="0"/>
                    <w:autoSpaceDN w:val="0"/>
                    <w:ind w:left="0"/>
                    <w:jc w:val="both"/>
                    <w:rPr>
                      <w:rFonts w:ascii="Arial" w:hAnsi="Arial" w:cs="Arial"/>
                    </w:rPr>
                  </w:pPr>
                </w:p>
                <w:p w14:paraId="5DB1546D"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7700C7BD" w14:textId="2A75D821" w:rsidR="003B3454" w:rsidRPr="00F81C7D" w:rsidRDefault="00383F8E" w:rsidP="007079E9">
                  <w:pPr>
                    <w:pStyle w:val="ListParagraph"/>
                    <w:autoSpaceDE w:val="0"/>
                    <w:autoSpaceDN w:val="0"/>
                    <w:ind w:left="0"/>
                    <w:jc w:val="both"/>
                    <w:rPr>
                      <w:rFonts w:ascii="Arial" w:hAnsi="Arial" w:cs="Arial"/>
                    </w:rPr>
                  </w:pPr>
                  <w:r w:rsidRPr="00F81C7D">
                    <w:rPr>
                      <w:rFonts w:ascii="Arial" w:hAnsi="Arial" w:cs="Arial"/>
                    </w:rPr>
                    <w:t>These funds</w:t>
                  </w:r>
                  <w:r w:rsidR="009263B6" w:rsidRPr="00F81C7D">
                    <w:rPr>
                      <w:rFonts w:ascii="Arial" w:hAnsi="Arial" w:cs="Arial"/>
                    </w:rPr>
                    <w:t xml:space="preserve"> are established to meet potential and contingent obligations arising from ‘live cases’ which did not meet the definition of a provision</w:t>
                  </w:r>
                  <w:r w:rsidR="003B3454" w:rsidRPr="00F81C7D">
                    <w:rPr>
                      <w:rStyle w:val="FootnoteReference"/>
                      <w:rFonts w:ascii="Arial" w:hAnsi="Arial" w:cs="Arial"/>
                    </w:rPr>
                    <w:footnoteReference w:id="2"/>
                  </w:r>
                  <w:r w:rsidR="00C34917" w:rsidRPr="00F81C7D">
                    <w:rPr>
                      <w:rFonts w:ascii="Arial" w:hAnsi="Arial" w:cs="Arial"/>
                    </w:rPr>
                    <w:t xml:space="preserve">.  These are reviewed regularly on a </w:t>
                  </w:r>
                  <w:r w:rsidR="00000C49" w:rsidRPr="00F81C7D">
                    <w:rPr>
                      <w:rFonts w:ascii="Arial" w:hAnsi="Arial" w:cs="Arial"/>
                    </w:rPr>
                    <w:t>case-by-case</w:t>
                  </w:r>
                  <w:r w:rsidR="00C34917" w:rsidRPr="00F81C7D">
                    <w:rPr>
                      <w:rFonts w:ascii="Arial" w:hAnsi="Arial" w:cs="Arial"/>
                    </w:rPr>
                    <w:t xml:space="preserve"> basis on whether they are still required </w:t>
                  </w:r>
                  <w:r w:rsidR="003E6059" w:rsidRPr="00F81C7D">
                    <w:rPr>
                      <w:rFonts w:ascii="Arial" w:hAnsi="Arial" w:cs="Arial"/>
                    </w:rPr>
                    <w:t xml:space="preserve">(and therefore </w:t>
                  </w:r>
                  <w:r w:rsidR="008C2EA9" w:rsidRPr="00F81C7D">
                    <w:rPr>
                      <w:rFonts w:ascii="Arial" w:hAnsi="Arial" w:cs="Arial"/>
                    </w:rPr>
                    <w:t>remain</w:t>
                  </w:r>
                  <w:r w:rsidR="003E6059" w:rsidRPr="00F81C7D">
                    <w:rPr>
                      <w:rFonts w:ascii="Arial" w:hAnsi="Arial" w:cs="Arial"/>
                    </w:rPr>
                    <w:t xml:space="preserve"> ‘committed’) </w:t>
                  </w:r>
                  <w:r w:rsidR="00C34917" w:rsidRPr="00F81C7D">
                    <w:rPr>
                      <w:rFonts w:ascii="Arial" w:hAnsi="Arial" w:cs="Arial"/>
                    </w:rPr>
                    <w:t>or can b</w:t>
                  </w:r>
                  <w:r w:rsidRPr="00F81C7D">
                    <w:rPr>
                      <w:rFonts w:ascii="Arial" w:hAnsi="Arial" w:cs="Arial"/>
                    </w:rPr>
                    <w:t xml:space="preserve">e released back into the wider </w:t>
                  </w:r>
                  <w:r w:rsidR="00611902" w:rsidRPr="00F81C7D">
                    <w:rPr>
                      <w:rFonts w:ascii="Arial" w:hAnsi="Arial" w:cs="Arial"/>
                    </w:rPr>
                    <w:t>r</w:t>
                  </w:r>
                  <w:r w:rsidR="00C34917" w:rsidRPr="00F81C7D">
                    <w:rPr>
                      <w:rFonts w:ascii="Arial" w:hAnsi="Arial" w:cs="Arial"/>
                    </w:rPr>
                    <w:t>eserve</w:t>
                  </w:r>
                  <w:r w:rsidRPr="00F81C7D">
                    <w:rPr>
                      <w:rFonts w:ascii="Arial" w:hAnsi="Arial" w:cs="Arial"/>
                    </w:rPr>
                    <w:t>s</w:t>
                  </w:r>
                  <w:r w:rsidR="00C34917" w:rsidRPr="00F81C7D">
                    <w:rPr>
                      <w:rFonts w:ascii="Arial" w:hAnsi="Arial" w:cs="Arial"/>
                    </w:rPr>
                    <w:t xml:space="preserve"> </w:t>
                  </w:r>
                  <w:r w:rsidRPr="00F81C7D">
                    <w:rPr>
                      <w:rFonts w:ascii="Arial" w:hAnsi="Arial" w:cs="Arial"/>
                    </w:rPr>
                    <w:t xml:space="preserve">and </w:t>
                  </w:r>
                  <w:r w:rsidR="00611902" w:rsidRPr="00F81C7D">
                    <w:rPr>
                      <w:rFonts w:ascii="Arial" w:hAnsi="Arial" w:cs="Arial"/>
                    </w:rPr>
                    <w:t>c</w:t>
                  </w:r>
                  <w:r w:rsidRPr="00F81C7D">
                    <w:rPr>
                      <w:rFonts w:ascii="Arial" w:hAnsi="Arial" w:cs="Arial"/>
                    </w:rPr>
                    <w:t xml:space="preserve">ommitted </w:t>
                  </w:r>
                  <w:r w:rsidR="00611902" w:rsidRPr="00F81C7D">
                    <w:rPr>
                      <w:rFonts w:ascii="Arial" w:hAnsi="Arial" w:cs="Arial"/>
                    </w:rPr>
                    <w:t>f</w:t>
                  </w:r>
                  <w:r w:rsidRPr="00F81C7D">
                    <w:rPr>
                      <w:rFonts w:ascii="Arial" w:hAnsi="Arial" w:cs="Arial"/>
                    </w:rPr>
                    <w:t xml:space="preserve">unds </w:t>
                  </w:r>
                  <w:r w:rsidR="00C34917" w:rsidRPr="00F81C7D">
                    <w:rPr>
                      <w:rFonts w:ascii="Arial" w:hAnsi="Arial" w:cs="Arial"/>
                    </w:rPr>
                    <w:t xml:space="preserve">position. </w:t>
                  </w:r>
                </w:p>
              </w:tc>
            </w:tr>
            <w:tr w:rsidR="003B3454" w:rsidRPr="00F81C7D" w14:paraId="2AC41F9D" w14:textId="77777777" w:rsidTr="00FC6C63">
              <w:tc>
                <w:tcPr>
                  <w:tcW w:w="3850" w:type="dxa"/>
                </w:tcPr>
                <w:p w14:paraId="16F53842" w14:textId="5BBB8DD2" w:rsidR="003B3454" w:rsidRPr="00F81C7D" w:rsidRDefault="008C2EA9" w:rsidP="007079E9">
                  <w:pPr>
                    <w:pStyle w:val="ListParagraph"/>
                    <w:autoSpaceDE w:val="0"/>
                    <w:autoSpaceDN w:val="0"/>
                    <w:ind w:left="0"/>
                    <w:jc w:val="both"/>
                    <w:rPr>
                      <w:rFonts w:ascii="Arial" w:hAnsi="Arial" w:cs="Arial"/>
                    </w:rPr>
                  </w:pPr>
                  <w:r w:rsidRPr="00F81C7D">
                    <w:rPr>
                      <w:rFonts w:ascii="Arial" w:hAnsi="Arial" w:cs="Arial"/>
                    </w:rPr>
                    <w:t xml:space="preserve">Committed </w:t>
                  </w:r>
                  <w:r w:rsidR="00D26DDA" w:rsidRPr="00F81C7D">
                    <w:rPr>
                      <w:rFonts w:ascii="Arial" w:hAnsi="Arial" w:cs="Arial"/>
                    </w:rPr>
                    <w:t>F</w:t>
                  </w:r>
                  <w:r w:rsidRPr="00F81C7D">
                    <w:rPr>
                      <w:rFonts w:ascii="Arial" w:hAnsi="Arial" w:cs="Arial"/>
                    </w:rPr>
                    <w:t>unds</w:t>
                  </w:r>
                  <w:r w:rsidR="003B3454" w:rsidRPr="00F81C7D">
                    <w:rPr>
                      <w:rFonts w:ascii="Arial" w:hAnsi="Arial" w:cs="Arial"/>
                    </w:rPr>
                    <w:t xml:space="preserve"> for unspent revenue grants and sums held on behalf of third parties</w:t>
                  </w:r>
                  <w:r w:rsidR="002C24E4">
                    <w:rPr>
                      <w:rFonts w:ascii="Arial" w:hAnsi="Arial" w:cs="Arial"/>
                    </w:rPr>
                    <w:t>.</w:t>
                  </w:r>
                </w:p>
                <w:p w14:paraId="587C03AF" w14:textId="77777777" w:rsidR="007113FB" w:rsidRPr="00F81C7D" w:rsidRDefault="007113FB" w:rsidP="007079E9">
                  <w:pPr>
                    <w:pStyle w:val="ListParagraph"/>
                    <w:autoSpaceDE w:val="0"/>
                    <w:autoSpaceDN w:val="0"/>
                    <w:ind w:left="0"/>
                    <w:jc w:val="both"/>
                    <w:rPr>
                      <w:rFonts w:ascii="Arial" w:hAnsi="Arial" w:cs="Arial"/>
                    </w:rPr>
                  </w:pPr>
                </w:p>
                <w:p w14:paraId="28A623E5"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08BBE16F" w14:textId="77777777" w:rsidR="003B3454" w:rsidRPr="00F81C7D" w:rsidRDefault="003B3454" w:rsidP="007079E9">
                  <w:pPr>
                    <w:pStyle w:val="ListParagraph"/>
                    <w:autoSpaceDE w:val="0"/>
                    <w:autoSpaceDN w:val="0"/>
                    <w:ind w:left="0"/>
                    <w:jc w:val="both"/>
                    <w:rPr>
                      <w:rFonts w:ascii="Arial" w:hAnsi="Arial" w:cs="Arial"/>
                    </w:rPr>
                  </w:pPr>
                  <w:r w:rsidRPr="00F81C7D">
                    <w:rPr>
                      <w:rFonts w:ascii="Arial" w:hAnsi="Arial" w:cs="Arial"/>
                    </w:rPr>
                    <w:t xml:space="preserve">Where revenue grants have no conditions attached or the conditions are met and the expenditure has yet to take place, these sums are permissible to be held as </w:t>
                  </w:r>
                  <w:r w:rsidR="00D26DDA" w:rsidRPr="00F81C7D">
                    <w:rPr>
                      <w:rFonts w:ascii="Arial" w:hAnsi="Arial" w:cs="Arial"/>
                    </w:rPr>
                    <w:t>c</w:t>
                  </w:r>
                  <w:r w:rsidR="00611902" w:rsidRPr="00F81C7D">
                    <w:rPr>
                      <w:rFonts w:ascii="Arial" w:hAnsi="Arial" w:cs="Arial"/>
                    </w:rPr>
                    <w:t xml:space="preserve">ommitted </w:t>
                  </w:r>
                  <w:r w:rsidR="00D26DDA" w:rsidRPr="00F81C7D">
                    <w:rPr>
                      <w:rFonts w:ascii="Arial" w:hAnsi="Arial" w:cs="Arial"/>
                    </w:rPr>
                    <w:t>f</w:t>
                  </w:r>
                  <w:r w:rsidR="00611902" w:rsidRPr="00F81C7D">
                    <w:rPr>
                      <w:rFonts w:ascii="Arial" w:hAnsi="Arial" w:cs="Arial"/>
                    </w:rPr>
                    <w:t>unds</w:t>
                  </w:r>
                  <w:r w:rsidRPr="00F81C7D">
                    <w:rPr>
                      <w:rFonts w:ascii="Arial" w:hAnsi="Arial" w:cs="Arial"/>
                    </w:rPr>
                    <w:t>.</w:t>
                  </w:r>
                  <w:r w:rsidR="003E6059" w:rsidRPr="00F81C7D">
                    <w:rPr>
                      <w:rFonts w:ascii="Arial" w:hAnsi="Arial" w:cs="Arial"/>
                    </w:rPr>
                    <w:t xml:space="preserve">  The same applies for </w:t>
                  </w:r>
                  <w:r w:rsidR="00611902" w:rsidRPr="00F81C7D">
                    <w:rPr>
                      <w:rFonts w:ascii="Arial" w:hAnsi="Arial" w:cs="Arial"/>
                    </w:rPr>
                    <w:t xml:space="preserve">sums held on behalf of </w:t>
                  </w:r>
                  <w:r w:rsidR="003E6059" w:rsidRPr="00F81C7D">
                    <w:rPr>
                      <w:rFonts w:ascii="Arial" w:hAnsi="Arial" w:cs="Arial"/>
                    </w:rPr>
                    <w:t>third part</w:t>
                  </w:r>
                  <w:r w:rsidR="00611902" w:rsidRPr="00F81C7D">
                    <w:rPr>
                      <w:rFonts w:ascii="Arial" w:hAnsi="Arial" w:cs="Arial"/>
                    </w:rPr>
                    <w:t>ies</w:t>
                  </w:r>
                  <w:r w:rsidR="003E6059" w:rsidRPr="00F81C7D">
                    <w:rPr>
                      <w:rFonts w:ascii="Arial" w:hAnsi="Arial" w:cs="Arial"/>
                    </w:rPr>
                    <w:t>.</w:t>
                  </w:r>
                </w:p>
              </w:tc>
            </w:tr>
            <w:tr w:rsidR="00F5207B" w:rsidRPr="00F81C7D" w14:paraId="235499CB" w14:textId="77777777" w:rsidTr="00FC6C63">
              <w:tc>
                <w:tcPr>
                  <w:tcW w:w="3850" w:type="dxa"/>
                </w:tcPr>
                <w:p w14:paraId="40FD9E08" w14:textId="77777777" w:rsidR="00F5207B" w:rsidRPr="00F81C7D" w:rsidRDefault="00FA0DCF" w:rsidP="007079E9">
                  <w:pPr>
                    <w:pStyle w:val="ListParagraph"/>
                    <w:autoSpaceDE w:val="0"/>
                    <w:autoSpaceDN w:val="0"/>
                    <w:ind w:left="0"/>
                    <w:jc w:val="both"/>
                    <w:rPr>
                      <w:rFonts w:ascii="Arial" w:hAnsi="Arial" w:cs="Arial"/>
                    </w:rPr>
                  </w:pPr>
                  <w:r w:rsidRPr="00F81C7D">
                    <w:rPr>
                      <w:rFonts w:ascii="Arial" w:hAnsi="Arial" w:cs="Arial"/>
                    </w:rPr>
                    <w:t>Committed funds</w:t>
                  </w:r>
                  <w:r w:rsidR="00F5207B" w:rsidRPr="00F81C7D">
                    <w:rPr>
                      <w:rFonts w:ascii="Arial" w:hAnsi="Arial" w:cs="Arial"/>
                    </w:rPr>
                    <w:t xml:space="preserve"> retained for Workstream/Department use</w:t>
                  </w:r>
                  <w:r w:rsidR="003E6059" w:rsidRPr="00F81C7D">
                    <w:rPr>
                      <w:rFonts w:ascii="Arial" w:hAnsi="Arial" w:cs="Arial"/>
                    </w:rPr>
                    <w:t xml:space="preserve"> (including </w:t>
                  </w:r>
                  <w:r w:rsidR="006364BB" w:rsidRPr="00F81C7D">
                    <w:rPr>
                      <w:rFonts w:ascii="Arial" w:hAnsi="Arial" w:cs="Arial"/>
                    </w:rPr>
                    <w:t xml:space="preserve">utilisation of </w:t>
                  </w:r>
                  <w:r w:rsidR="003E6059" w:rsidRPr="00F81C7D">
                    <w:rPr>
                      <w:rFonts w:ascii="Arial" w:hAnsi="Arial" w:cs="Arial"/>
                    </w:rPr>
                    <w:t>‘Proceeds of Crime Act’ (POCA) monies)</w:t>
                  </w:r>
                  <w:r w:rsidR="0069535A" w:rsidRPr="00F81C7D">
                    <w:rPr>
                      <w:rFonts w:ascii="Arial" w:hAnsi="Arial" w:cs="Arial"/>
                    </w:rPr>
                    <w:t>.</w:t>
                  </w:r>
                </w:p>
                <w:p w14:paraId="5CA46422" w14:textId="77777777" w:rsidR="007113FB" w:rsidRPr="00F81C7D" w:rsidRDefault="007113FB" w:rsidP="007079E9">
                  <w:pPr>
                    <w:pStyle w:val="ListParagraph"/>
                    <w:autoSpaceDE w:val="0"/>
                    <w:autoSpaceDN w:val="0"/>
                    <w:ind w:left="0"/>
                    <w:jc w:val="both"/>
                    <w:rPr>
                      <w:rFonts w:ascii="Arial" w:hAnsi="Arial" w:cs="Arial"/>
                    </w:rPr>
                  </w:pPr>
                </w:p>
                <w:p w14:paraId="29A25447" w14:textId="77777777" w:rsidR="007113FB" w:rsidRPr="00F81C7D" w:rsidRDefault="007113FB" w:rsidP="007079E9">
                  <w:pPr>
                    <w:pStyle w:val="ListParagraph"/>
                    <w:autoSpaceDE w:val="0"/>
                    <w:autoSpaceDN w:val="0"/>
                    <w:ind w:left="0"/>
                    <w:jc w:val="both"/>
                    <w:rPr>
                      <w:rFonts w:ascii="Arial" w:hAnsi="Arial" w:cs="Arial"/>
                    </w:rPr>
                  </w:pPr>
                </w:p>
              </w:tc>
              <w:tc>
                <w:tcPr>
                  <w:tcW w:w="3996" w:type="dxa"/>
                </w:tcPr>
                <w:p w14:paraId="5387FF29" w14:textId="77777777"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t>The Commissioner’s Reserves</w:t>
                  </w:r>
                  <w:r w:rsidR="009B5A4B" w:rsidRPr="00F81C7D">
                    <w:rPr>
                      <w:rFonts w:ascii="Arial" w:hAnsi="Arial" w:cs="Arial"/>
                    </w:rPr>
                    <w:t xml:space="preserve"> and Committed Funds</w:t>
                  </w:r>
                  <w:r w:rsidR="0069535A" w:rsidRPr="00F81C7D">
                    <w:rPr>
                      <w:rFonts w:ascii="Arial" w:hAnsi="Arial" w:cs="Arial"/>
                    </w:rPr>
                    <w:t xml:space="preserve"> protocol permits Workstreams/</w:t>
                  </w:r>
                  <w:r w:rsidRPr="00F81C7D">
                    <w:rPr>
                      <w:rFonts w:ascii="Arial" w:hAnsi="Arial" w:cs="Arial"/>
                    </w:rPr>
                    <w:t xml:space="preserve">Departments to carry forward commitments at </w:t>
                  </w:r>
                  <w:r w:rsidR="009B5A4B" w:rsidRPr="00F81C7D">
                    <w:rPr>
                      <w:rFonts w:ascii="Arial" w:hAnsi="Arial" w:cs="Arial"/>
                    </w:rPr>
                    <w:t xml:space="preserve">the year-end (in the form of a </w:t>
                  </w:r>
                  <w:r w:rsidR="00D26DDA" w:rsidRPr="00F81C7D">
                    <w:rPr>
                      <w:rFonts w:ascii="Arial" w:hAnsi="Arial" w:cs="Arial"/>
                    </w:rPr>
                    <w:t>c</w:t>
                  </w:r>
                  <w:r w:rsidR="009B5A4B" w:rsidRPr="00F81C7D">
                    <w:rPr>
                      <w:rFonts w:ascii="Arial" w:hAnsi="Arial" w:cs="Arial"/>
                    </w:rPr>
                    <w:t>ommitte</w:t>
                  </w:r>
                  <w:r w:rsidR="00D26DDA" w:rsidRPr="00F81C7D">
                    <w:rPr>
                      <w:rFonts w:ascii="Arial" w:hAnsi="Arial" w:cs="Arial"/>
                    </w:rPr>
                    <w:t>d f</w:t>
                  </w:r>
                  <w:r w:rsidR="009B5A4B" w:rsidRPr="00F81C7D">
                    <w:rPr>
                      <w:rFonts w:ascii="Arial" w:hAnsi="Arial" w:cs="Arial"/>
                    </w:rPr>
                    <w:t>und</w:t>
                  </w:r>
                  <w:r w:rsidRPr="00F81C7D">
                    <w:rPr>
                      <w:rFonts w:ascii="Arial" w:hAnsi="Arial" w:cs="Arial"/>
                    </w:rPr>
                    <w:t xml:space="preserve">), on the basis that the </w:t>
                  </w:r>
                  <w:r w:rsidRPr="00F81C7D">
                    <w:rPr>
                      <w:rFonts w:ascii="Arial" w:hAnsi="Arial" w:cs="Arial"/>
                    </w:rPr>
                    <w:lastRenderedPageBreak/>
                    <w:t xml:space="preserve">expenditure will take place in the following financial year(s) – </w:t>
                  </w:r>
                  <w:r w:rsidR="00886BEC">
                    <w:rPr>
                      <w:rFonts w:ascii="Arial" w:hAnsi="Arial" w:cs="Arial"/>
                    </w:rPr>
                    <w:t>t</w:t>
                  </w:r>
                  <w:r w:rsidRPr="00F81C7D">
                    <w:rPr>
                      <w:rFonts w:ascii="Arial" w:hAnsi="Arial" w:cs="Arial"/>
                    </w:rPr>
                    <w:t xml:space="preserve">hese are subject to extensive scrutiny at each year-end and also during the following budget setting round. </w:t>
                  </w:r>
                </w:p>
              </w:tc>
            </w:tr>
          </w:tbl>
          <w:p w14:paraId="45E05383" w14:textId="77777777" w:rsidR="00F5207B" w:rsidRPr="00F81C7D" w:rsidRDefault="00F5207B" w:rsidP="007079E9">
            <w:pPr>
              <w:pStyle w:val="ListParagraph"/>
              <w:autoSpaceDE w:val="0"/>
              <w:autoSpaceDN w:val="0"/>
              <w:ind w:left="0"/>
              <w:jc w:val="both"/>
              <w:rPr>
                <w:rFonts w:ascii="Arial" w:hAnsi="Arial" w:cs="Arial"/>
              </w:rPr>
            </w:pPr>
          </w:p>
          <w:p w14:paraId="49F09338" w14:textId="6B830993" w:rsidR="005200D4" w:rsidRPr="00F81C7D" w:rsidRDefault="005200D4" w:rsidP="007079E9">
            <w:pPr>
              <w:pStyle w:val="ListParagraph"/>
              <w:ind w:left="0"/>
              <w:jc w:val="both"/>
              <w:rPr>
                <w:rFonts w:ascii="Arial" w:hAnsi="Arial" w:cs="Arial"/>
              </w:rPr>
            </w:pPr>
            <w:r w:rsidRPr="00F81C7D">
              <w:rPr>
                <w:rFonts w:ascii="Arial" w:hAnsi="Arial" w:cs="Arial"/>
              </w:rPr>
              <w:t xml:space="preserve">Appendix </w:t>
            </w:r>
            <w:r w:rsidR="006855A3" w:rsidRPr="00F81C7D">
              <w:rPr>
                <w:rFonts w:ascii="Arial" w:hAnsi="Arial" w:cs="Arial"/>
              </w:rPr>
              <w:t>2</w:t>
            </w:r>
            <w:r w:rsidRPr="00F81C7D">
              <w:rPr>
                <w:rFonts w:ascii="Arial" w:hAnsi="Arial" w:cs="Arial"/>
              </w:rPr>
              <w:t xml:space="preserve"> provides a detailed projection of the Commissioner’s reserves and committed funds up until 31</w:t>
            </w:r>
            <w:r w:rsidRPr="00F81C7D">
              <w:rPr>
                <w:rFonts w:ascii="Arial" w:hAnsi="Arial" w:cs="Arial"/>
                <w:vertAlign w:val="superscript"/>
              </w:rPr>
              <w:t>st</w:t>
            </w:r>
            <w:r w:rsidR="00CF074C" w:rsidRPr="00F81C7D">
              <w:rPr>
                <w:rFonts w:ascii="Arial" w:hAnsi="Arial" w:cs="Arial"/>
              </w:rPr>
              <w:t xml:space="preserve"> March </w:t>
            </w:r>
            <w:r w:rsidR="00CF074C" w:rsidRPr="00C0611E">
              <w:rPr>
                <w:rFonts w:ascii="Arial" w:hAnsi="Arial" w:cs="Arial"/>
              </w:rPr>
              <w:t>20</w:t>
            </w:r>
            <w:r w:rsidR="002C3E66">
              <w:rPr>
                <w:rFonts w:ascii="Arial" w:hAnsi="Arial" w:cs="Arial"/>
              </w:rPr>
              <w:t>30</w:t>
            </w:r>
            <w:r w:rsidRPr="00F81C7D">
              <w:rPr>
                <w:rFonts w:ascii="Arial" w:hAnsi="Arial" w:cs="Arial"/>
              </w:rPr>
              <w:t>.  The Appendix also categorises reserves and committed funds to meet the Home Office Guidance (issued January 2018) which determines that Commissioners</w:t>
            </w:r>
            <w:r w:rsidR="00CF074C" w:rsidRPr="00F81C7D">
              <w:rPr>
                <w:rFonts w:ascii="Arial" w:hAnsi="Arial" w:cs="Arial"/>
              </w:rPr>
              <w:t>’ Reserves and Committed F</w:t>
            </w:r>
            <w:r w:rsidRPr="00F81C7D">
              <w:rPr>
                <w:rFonts w:ascii="Arial" w:hAnsi="Arial" w:cs="Arial"/>
              </w:rPr>
              <w:t>und</w:t>
            </w:r>
            <w:r w:rsidR="00CF074C" w:rsidRPr="00F81C7D">
              <w:rPr>
                <w:rFonts w:ascii="Arial" w:hAnsi="Arial" w:cs="Arial"/>
              </w:rPr>
              <w:t>s</w:t>
            </w:r>
            <w:r w:rsidRPr="00F81C7D">
              <w:rPr>
                <w:rFonts w:ascii="Arial" w:hAnsi="Arial" w:cs="Arial"/>
              </w:rPr>
              <w:t xml:space="preserve"> should be categorised between:</w:t>
            </w:r>
          </w:p>
          <w:p w14:paraId="2D4CA1E3" w14:textId="77777777" w:rsidR="002C77A0" w:rsidRPr="00F81C7D" w:rsidRDefault="002C77A0" w:rsidP="007079E9">
            <w:pPr>
              <w:pStyle w:val="ListParagraph"/>
              <w:ind w:left="0"/>
              <w:jc w:val="both"/>
              <w:rPr>
                <w:rFonts w:ascii="Arial" w:hAnsi="Arial" w:cs="Arial"/>
              </w:rPr>
            </w:pPr>
          </w:p>
          <w:p w14:paraId="6FEB536F" w14:textId="77777777" w:rsidR="002C77A0"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A general contingency or resource to meet other expenditure needs held in accordance with sound principles of good financial management</w:t>
            </w:r>
            <w:r w:rsidR="002C77A0" w:rsidRPr="00F81C7D">
              <w:rPr>
                <w:rFonts w:ascii="Arial" w:hAnsi="Arial" w:cs="Arial"/>
              </w:rPr>
              <w:t>;</w:t>
            </w:r>
          </w:p>
          <w:p w14:paraId="31ECBE97" w14:textId="77777777" w:rsidR="002C77A0"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Funding for planned expenditure on projects and programmes over the period of the cur</w:t>
            </w:r>
            <w:r w:rsidR="002C77A0" w:rsidRPr="00F81C7D">
              <w:rPr>
                <w:rFonts w:ascii="Arial" w:hAnsi="Arial" w:cs="Arial"/>
              </w:rPr>
              <w:t xml:space="preserve">rent </w:t>
            </w:r>
            <w:r w:rsidR="00886BEC">
              <w:rPr>
                <w:rFonts w:ascii="Arial" w:hAnsi="Arial" w:cs="Arial"/>
              </w:rPr>
              <w:t>MTFP</w:t>
            </w:r>
            <w:r w:rsidR="002C77A0" w:rsidRPr="00F81C7D">
              <w:rPr>
                <w:rFonts w:ascii="Arial" w:hAnsi="Arial" w:cs="Arial"/>
              </w:rPr>
              <w:t>; and</w:t>
            </w:r>
          </w:p>
          <w:p w14:paraId="625864AB" w14:textId="5FDDE705" w:rsidR="005200D4" w:rsidRPr="00F81C7D" w:rsidRDefault="005200D4" w:rsidP="007079E9">
            <w:pPr>
              <w:pStyle w:val="ListParagraph"/>
              <w:numPr>
                <w:ilvl w:val="0"/>
                <w:numId w:val="33"/>
              </w:numPr>
              <w:autoSpaceDE w:val="0"/>
              <w:autoSpaceDN w:val="0"/>
              <w:jc w:val="both"/>
              <w:rPr>
                <w:rFonts w:ascii="Arial" w:hAnsi="Arial" w:cs="Arial"/>
              </w:rPr>
            </w:pPr>
            <w:r w:rsidRPr="00F81C7D">
              <w:rPr>
                <w:rFonts w:ascii="Arial" w:hAnsi="Arial" w:cs="Arial"/>
              </w:rPr>
              <w:t>Funding for specific projects and programmes bey</w:t>
            </w:r>
            <w:r w:rsidR="002C77A0" w:rsidRPr="00F81C7D">
              <w:rPr>
                <w:rFonts w:ascii="Arial" w:hAnsi="Arial" w:cs="Arial"/>
              </w:rPr>
              <w:t>ond the current planning period</w:t>
            </w:r>
            <w:r w:rsidR="0042196C">
              <w:rPr>
                <w:rFonts w:ascii="Arial" w:hAnsi="Arial" w:cs="Arial"/>
              </w:rPr>
              <w:t xml:space="preserve"> of the MTFP</w:t>
            </w:r>
            <w:r w:rsidR="002C77A0" w:rsidRPr="00F81C7D">
              <w:rPr>
                <w:rFonts w:ascii="Arial" w:hAnsi="Arial" w:cs="Arial"/>
              </w:rPr>
              <w:t>.</w:t>
            </w:r>
          </w:p>
          <w:p w14:paraId="741AEEB3" w14:textId="77777777" w:rsidR="005200D4" w:rsidRPr="00F81C7D" w:rsidRDefault="005200D4" w:rsidP="007079E9">
            <w:pPr>
              <w:pStyle w:val="ListParagraph"/>
              <w:autoSpaceDE w:val="0"/>
              <w:autoSpaceDN w:val="0"/>
              <w:ind w:left="0"/>
              <w:jc w:val="both"/>
              <w:rPr>
                <w:rFonts w:ascii="Arial" w:hAnsi="Arial" w:cs="Arial"/>
              </w:rPr>
            </w:pPr>
          </w:p>
          <w:p w14:paraId="48444F86" w14:textId="77777777" w:rsidR="000565C9" w:rsidRPr="00F81C7D" w:rsidRDefault="00A3522E" w:rsidP="007079E9">
            <w:pPr>
              <w:pStyle w:val="ListParagraph"/>
              <w:autoSpaceDE w:val="0"/>
              <w:autoSpaceDN w:val="0"/>
              <w:ind w:left="0"/>
              <w:jc w:val="both"/>
              <w:rPr>
                <w:rFonts w:ascii="Arial" w:hAnsi="Arial" w:cs="Arial"/>
              </w:rPr>
            </w:pPr>
            <w:r w:rsidRPr="00F81C7D">
              <w:rPr>
                <w:rFonts w:ascii="Arial" w:hAnsi="Arial" w:cs="Arial"/>
              </w:rPr>
              <w:t xml:space="preserve">The following table summarises the detail in Appendix </w:t>
            </w:r>
            <w:r w:rsidR="006855A3" w:rsidRPr="00F81C7D">
              <w:rPr>
                <w:rFonts w:ascii="Arial" w:hAnsi="Arial" w:cs="Arial"/>
              </w:rPr>
              <w:t>2</w:t>
            </w:r>
            <w:r w:rsidRPr="00F81C7D">
              <w:rPr>
                <w:rFonts w:ascii="Arial" w:hAnsi="Arial" w:cs="Arial"/>
              </w:rPr>
              <w:t xml:space="preserve"> into the analysis above.</w:t>
            </w:r>
          </w:p>
          <w:p w14:paraId="7FABA350" w14:textId="77777777" w:rsidR="000565C9" w:rsidRPr="00F81C7D" w:rsidRDefault="000565C9" w:rsidP="007079E9">
            <w:pPr>
              <w:pStyle w:val="ListParagraph"/>
              <w:autoSpaceDE w:val="0"/>
              <w:autoSpaceDN w:val="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101"/>
              <w:gridCol w:w="1100"/>
              <w:gridCol w:w="1099"/>
              <w:gridCol w:w="1099"/>
              <w:gridCol w:w="1099"/>
              <w:gridCol w:w="1099"/>
            </w:tblGrid>
            <w:tr w:rsidR="000C2BB3" w:rsidRPr="002C3E66" w14:paraId="52C5DF6E" w14:textId="77777777" w:rsidTr="00DC1387">
              <w:tc>
                <w:tcPr>
                  <w:tcW w:w="1552" w:type="dxa"/>
                  <w:vMerge w:val="restart"/>
                  <w:shd w:val="clear" w:color="auto" w:fill="auto"/>
                </w:tcPr>
                <w:p w14:paraId="76A539E2"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Home Office Category</w:t>
                  </w:r>
                </w:p>
              </w:tc>
              <w:tc>
                <w:tcPr>
                  <w:tcW w:w="1138" w:type="dxa"/>
                  <w:shd w:val="clear" w:color="auto" w:fill="auto"/>
                </w:tcPr>
                <w:p w14:paraId="3BAA7CD3" w14:textId="5E75CF6E"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000E21CD" w:rsidRPr="005C478B">
                    <w:rPr>
                      <w:rFonts w:ascii="Arial" w:hAnsi="Arial" w:cs="Arial"/>
                      <w:b/>
                    </w:rPr>
                    <w:t xml:space="preserve"> March 20</w:t>
                  </w:r>
                  <w:r w:rsidR="00374400" w:rsidRPr="005C478B">
                    <w:rPr>
                      <w:rFonts w:ascii="Arial" w:hAnsi="Arial" w:cs="Arial"/>
                      <w:b/>
                    </w:rPr>
                    <w:t>2</w:t>
                  </w:r>
                  <w:r w:rsidR="005C478B" w:rsidRPr="005C478B">
                    <w:rPr>
                      <w:rFonts w:ascii="Arial" w:hAnsi="Arial" w:cs="Arial"/>
                      <w:b/>
                    </w:rPr>
                    <w:t>5</w:t>
                  </w:r>
                </w:p>
              </w:tc>
              <w:tc>
                <w:tcPr>
                  <w:tcW w:w="1138" w:type="dxa"/>
                  <w:shd w:val="clear" w:color="auto" w:fill="auto"/>
                </w:tcPr>
                <w:p w14:paraId="16838FE2" w14:textId="68BAA47E"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000E21CD" w:rsidRPr="005C478B">
                    <w:rPr>
                      <w:rFonts w:ascii="Arial" w:hAnsi="Arial" w:cs="Arial"/>
                      <w:b/>
                    </w:rPr>
                    <w:t xml:space="preserve"> March 202</w:t>
                  </w:r>
                  <w:r w:rsidR="005C478B" w:rsidRPr="005C478B">
                    <w:rPr>
                      <w:rFonts w:ascii="Arial" w:hAnsi="Arial" w:cs="Arial"/>
                      <w:b/>
                    </w:rPr>
                    <w:t>6</w:t>
                  </w:r>
                </w:p>
              </w:tc>
              <w:tc>
                <w:tcPr>
                  <w:tcW w:w="1137" w:type="dxa"/>
                  <w:shd w:val="clear" w:color="auto" w:fill="auto"/>
                </w:tcPr>
                <w:p w14:paraId="503393C9" w14:textId="0D70A72F"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Pr="005C478B">
                    <w:rPr>
                      <w:rFonts w:ascii="Arial" w:hAnsi="Arial" w:cs="Arial"/>
                      <w:b/>
                    </w:rPr>
                    <w:t xml:space="preserve"> March 202</w:t>
                  </w:r>
                  <w:r w:rsidR="005C478B" w:rsidRPr="005C478B">
                    <w:rPr>
                      <w:rFonts w:ascii="Arial" w:hAnsi="Arial" w:cs="Arial"/>
                      <w:b/>
                    </w:rPr>
                    <w:t>7</w:t>
                  </w:r>
                </w:p>
              </w:tc>
              <w:tc>
                <w:tcPr>
                  <w:tcW w:w="1137" w:type="dxa"/>
                  <w:shd w:val="clear" w:color="auto" w:fill="auto"/>
                </w:tcPr>
                <w:p w14:paraId="65B9792F" w14:textId="329068C4"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Pr="005C478B">
                    <w:rPr>
                      <w:rFonts w:ascii="Arial" w:hAnsi="Arial" w:cs="Arial"/>
                      <w:b/>
                    </w:rPr>
                    <w:t xml:space="preserve"> March 202</w:t>
                  </w:r>
                  <w:r w:rsidR="005C478B" w:rsidRPr="005C478B">
                    <w:rPr>
                      <w:rFonts w:ascii="Arial" w:hAnsi="Arial" w:cs="Arial"/>
                      <w:b/>
                    </w:rPr>
                    <w:t>8</w:t>
                  </w:r>
                </w:p>
              </w:tc>
              <w:tc>
                <w:tcPr>
                  <w:tcW w:w="1137" w:type="dxa"/>
                  <w:shd w:val="clear" w:color="auto" w:fill="auto"/>
                </w:tcPr>
                <w:p w14:paraId="176AE0E2" w14:textId="22AF1B14"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Pr="005C478B">
                    <w:rPr>
                      <w:rFonts w:ascii="Arial" w:hAnsi="Arial" w:cs="Arial"/>
                      <w:b/>
                    </w:rPr>
                    <w:t xml:space="preserve"> March 202</w:t>
                  </w:r>
                  <w:r w:rsidR="005C478B" w:rsidRPr="005C478B">
                    <w:rPr>
                      <w:rFonts w:ascii="Arial" w:hAnsi="Arial" w:cs="Arial"/>
                      <w:b/>
                    </w:rPr>
                    <w:t>9</w:t>
                  </w:r>
                </w:p>
              </w:tc>
              <w:tc>
                <w:tcPr>
                  <w:tcW w:w="1137" w:type="dxa"/>
                  <w:shd w:val="clear" w:color="auto" w:fill="auto"/>
                </w:tcPr>
                <w:p w14:paraId="7A420BA6" w14:textId="63C76120"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31</w:t>
                  </w:r>
                  <w:r w:rsidRPr="005C478B">
                    <w:rPr>
                      <w:rFonts w:ascii="Arial" w:hAnsi="Arial" w:cs="Arial"/>
                      <w:b/>
                      <w:vertAlign w:val="superscript"/>
                    </w:rPr>
                    <w:t>st</w:t>
                  </w:r>
                  <w:r w:rsidRPr="005C478B">
                    <w:rPr>
                      <w:rFonts w:ascii="Arial" w:hAnsi="Arial" w:cs="Arial"/>
                      <w:b/>
                    </w:rPr>
                    <w:t xml:space="preserve"> March 20</w:t>
                  </w:r>
                  <w:r w:rsidR="005C478B" w:rsidRPr="005C478B">
                    <w:rPr>
                      <w:rFonts w:ascii="Arial" w:hAnsi="Arial" w:cs="Arial"/>
                      <w:b/>
                    </w:rPr>
                    <w:t>30</w:t>
                  </w:r>
                </w:p>
              </w:tc>
            </w:tr>
            <w:tr w:rsidR="000C2BB3" w:rsidRPr="002C3E66" w14:paraId="610C38F8" w14:textId="77777777" w:rsidTr="00DC1387">
              <w:tc>
                <w:tcPr>
                  <w:tcW w:w="1552" w:type="dxa"/>
                  <w:vMerge/>
                  <w:shd w:val="clear" w:color="auto" w:fill="auto"/>
                </w:tcPr>
                <w:p w14:paraId="0C19702E" w14:textId="77777777" w:rsidR="009A458D" w:rsidRPr="005C478B" w:rsidRDefault="009A458D" w:rsidP="007079E9">
                  <w:pPr>
                    <w:pStyle w:val="ListParagraph"/>
                    <w:autoSpaceDE w:val="0"/>
                    <w:autoSpaceDN w:val="0"/>
                    <w:ind w:left="0"/>
                    <w:jc w:val="center"/>
                    <w:rPr>
                      <w:rFonts w:ascii="Arial" w:hAnsi="Arial" w:cs="Arial"/>
                      <w:b/>
                    </w:rPr>
                  </w:pPr>
                </w:p>
              </w:tc>
              <w:tc>
                <w:tcPr>
                  <w:tcW w:w="1138" w:type="dxa"/>
                  <w:shd w:val="clear" w:color="auto" w:fill="auto"/>
                </w:tcPr>
                <w:p w14:paraId="46F159CB"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c>
                <w:tcPr>
                  <w:tcW w:w="1138" w:type="dxa"/>
                  <w:shd w:val="clear" w:color="auto" w:fill="auto"/>
                </w:tcPr>
                <w:p w14:paraId="340EACB8"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c>
                <w:tcPr>
                  <w:tcW w:w="1137" w:type="dxa"/>
                  <w:shd w:val="clear" w:color="auto" w:fill="auto"/>
                </w:tcPr>
                <w:p w14:paraId="3204DEDE"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c>
                <w:tcPr>
                  <w:tcW w:w="1137" w:type="dxa"/>
                  <w:shd w:val="clear" w:color="auto" w:fill="auto"/>
                </w:tcPr>
                <w:p w14:paraId="7FE6C42F"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c>
                <w:tcPr>
                  <w:tcW w:w="1137" w:type="dxa"/>
                  <w:shd w:val="clear" w:color="auto" w:fill="auto"/>
                </w:tcPr>
                <w:p w14:paraId="53014199"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c>
                <w:tcPr>
                  <w:tcW w:w="1137" w:type="dxa"/>
                  <w:shd w:val="clear" w:color="auto" w:fill="auto"/>
                </w:tcPr>
                <w:p w14:paraId="723E749A" w14:textId="77777777" w:rsidR="009A458D" w:rsidRPr="005C478B" w:rsidRDefault="009A458D" w:rsidP="007079E9">
                  <w:pPr>
                    <w:pStyle w:val="ListParagraph"/>
                    <w:autoSpaceDE w:val="0"/>
                    <w:autoSpaceDN w:val="0"/>
                    <w:ind w:left="0"/>
                    <w:jc w:val="center"/>
                    <w:rPr>
                      <w:rFonts w:ascii="Arial" w:hAnsi="Arial" w:cs="Arial"/>
                      <w:b/>
                    </w:rPr>
                  </w:pPr>
                  <w:r w:rsidRPr="005C478B">
                    <w:rPr>
                      <w:rFonts w:ascii="Arial" w:hAnsi="Arial" w:cs="Arial"/>
                      <w:b/>
                    </w:rPr>
                    <w:t>£’000</w:t>
                  </w:r>
                </w:p>
              </w:tc>
            </w:tr>
            <w:tr w:rsidR="000C2BB3" w:rsidRPr="002C3E66" w14:paraId="0E0E3551" w14:textId="77777777" w:rsidTr="00DC1387">
              <w:tc>
                <w:tcPr>
                  <w:tcW w:w="1552" w:type="dxa"/>
                  <w:shd w:val="clear" w:color="auto" w:fill="auto"/>
                </w:tcPr>
                <w:p w14:paraId="2CF27A35" w14:textId="77777777" w:rsidR="00A002FF" w:rsidRPr="005C478B" w:rsidRDefault="00A002FF" w:rsidP="007079E9">
                  <w:pPr>
                    <w:pStyle w:val="ListParagraph"/>
                    <w:autoSpaceDE w:val="0"/>
                    <w:autoSpaceDN w:val="0"/>
                    <w:ind w:left="0"/>
                    <w:jc w:val="both"/>
                    <w:rPr>
                      <w:rFonts w:ascii="Arial" w:hAnsi="Arial" w:cs="Arial"/>
                    </w:rPr>
                  </w:pPr>
                  <w:r w:rsidRPr="005C478B">
                    <w:rPr>
                      <w:rFonts w:ascii="Arial" w:hAnsi="Arial" w:cs="Arial"/>
                    </w:rPr>
                    <w:t>General Contingency</w:t>
                  </w:r>
                </w:p>
              </w:tc>
              <w:tc>
                <w:tcPr>
                  <w:tcW w:w="1138" w:type="dxa"/>
                  <w:shd w:val="clear" w:color="auto" w:fill="auto"/>
                </w:tcPr>
                <w:p w14:paraId="6D46FD3F" w14:textId="786FDDED"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00</w:t>
                  </w:r>
                </w:p>
              </w:tc>
              <w:tc>
                <w:tcPr>
                  <w:tcW w:w="1138" w:type="dxa"/>
                  <w:shd w:val="clear" w:color="auto" w:fill="auto"/>
                </w:tcPr>
                <w:p w14:paraId="576E4A5A" w14:textId="358AB489"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w:t>
                  </w:r>
                  <w:r w:rsidR="00A002FF" w:rsidRPr="005C478B">
                    <w:rPr>
                      <w:rFonts w:ascii="Arial" w:hAnsi="Arial" w:cs="Arial"/>
                    </w:rPr>
                    <w:t>0</w:t>
                  </w:r>
                </w:p>
              </w:tc>
              <w:tc>
                <w:tcPr>
                  <w:tcW w:w="1137" w:type="dxa"/>
                  <w:shd w:val="clear" w:color="auto" w:fill="auto"/>
                </w:tcPr>
                <w:p w14:paraId="3D275143" w14:textId="25259DFD"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w:t>
                  </w:r>
                  <w:r w:rsidR="00A002FF" w:rsidRPr="005C478B">
                    <w:rPr>
                      <w:rFonts w:ascii="Arial" w:hAnsi="Arial" w:cs="Arial"/>
                    </w:rPr>
                    <w:t>0</w:t>
                  </w:r>
                </w:p>
              </w:tc>
              <w:tc>
                <w:tcPr>
                  <w:tcW w:w="1137" w:type="dxa"/>
                  <w:shd w:val="clear" w:color="auto" w:fill="auto"/>
                </w:tcPr>
                <w:p w14:paraId="286546C4" w14:textId="12EA6DE1"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w:t>
                  </w:r>
                  <w:r w:rsidR="00A002FF" w:rsidRPr="005C478B">
                    <w:rPr>
                      <w:rFonts w:ascii="Arial" w:hAnsi="Arial" w:cs="Arial"/>
                    </w:rPr>
                    <w:t>0</w:t>
                  </w:r>
                </w:p>
              </w:tc>
              <w:tc>
                <w:tcPr>
                  <w:tcW w:w="1137" w:type="dxa"/>
                  <w:shd w:val="clear" w:color="auto" w:fill="auto"/>
                </w:tcPr>
                <w:p w14:paraId="5058955C" w14:textId="217B9FB4"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w:t>
                  </w:r>
                  <w:r w:rsidR="00A002FF" w:rsidRPr="005C478B">
                    <w:rPr>
                      <w:rFonts w:ascii="Arial" w:hAnsi="Arial" w:cs="Arial"/>
                    </w:rPr>
                    <w:t>0</w:t>
                  </w:r>
                </w:p>
              </w:tc>
              <w:tc>
                <w:tcPr>
                  <w:tcW w:w="1137" w:type="dxa"/>
                  <w:shd w:val="clear" w:color="auto" w:fill="auto"/>
                </w:tcPr>
                <w:p w14:paraId="7166C130" w14:textId="05F4E7EB" w:rsidR="00A002FF" w:rsidRPr="005C478B" w:rsidRDefault="005F6578" w:rsidP="007079E9">
                  <w:pPr>
                    <w:pStyle w:val="ListParagraph"/>
                    <w:autoSpaceDE w:val="0"/>
                    <w:autoSpaceDN w:val="0"/>
                    <w:ind w:left="0"/>
                    <w:jc w:val="right"/>
                    <w:rPr>
                      <w:rFonts w:ascii="Arial" w:hAnsi="Arial" w:cs="Arial"/>
                    </w:rPr>
                  </w:pPr>
                  <w:r w:rsidRPr="005C478B">
                    <w:rPr>
                      <w:rFonts w:ascii="Arial" w:hAnsi="Arial" w:cs="Arial"/>
                    </w:rPr>
                    <w:t>5</w:t>
                  </w:r>
                  <w:r w:rsidR="00A002FF" w:rsidRPr="005C478B">
                    <w:rPr>
                      <w:rFonts w:ascii="Arial" w:hAnsi="Arial" w:cs="Arial"/>
                    </w:rPr>
                    <w:t>,</w:t>
                  </w:r>
                  <w:r w:rsidR="005C478B" w:rsidRPr="005C478B">
                    <w:rPr>
                      <w:rFonts w:ascii="Arial" w:hAnsi="Arial" w:cs="Arial"/>
                    </w:rPr>
                    <w:t>5</w:t>
                  </w:r>
                  <w:r w:rsidRPr="005C478B">
                    <w:rPr>
                      <w:rFonts w:ascii="Arial" w:hAnsi="Arial" w:cs="Arial"/>
                    </w:rPr>
                    <w:t>0</w:t>
                  </w:r>
                  <w:r w:rsidR="00A002FF" w:rsidRPr="005C478B">
                    <w:rPr>
                      <w:rFonts w:ascii="Arial" w:hAnsi="Arial" w:cs="Arial"/>
                    </w:rPr>
                    <w:t>0</w:t>
                  </w:r>
                </w:p>
              </w:tc>
            </w:tr>
            <w:tr w:rsidR="000C2BB3" w:rsidRPr="002C3E66" w14:paraId="2AD0DEE6" w14:textId="77777777" w:rsidTr="00DC1387">
              <w:tc>
                <w:tcPr>
                  <w:tcW w:w="1552" w:type="dxa"/>
                  <w:shd w:val="clear" w:color="auto" w:fill="auto"/>
                </w:tcPr>
                <w:p w14:paraId="52202709" w14:textId="77777777" w:rsidR="00A002FF" w:rsidRPr="005C478B" w:rsidRDefault="00A002FF" w:rsidP="007079E9">
                  <w:pPr>
                    <w:pStyle w:val="ListParagraph"/>
                    <w:autoSpaceDE w:val="0"/>
                    <w:autoSpaceDN w:val="0"/>
                    <w:ind w:left="0"/>
                    <w:jc w:val="both"/>
                    <w:rPr>
                      <w:rFonts w:ascii="Arial" w:hAnsi="Arial" w:cs="Arial"/>
                    </w:rPr>
                  </w:pPr>
                  <w:r w:rsidRPr="005C478B">
                    <w:rPr>
                      <w:rFonts w:ascii="Arial" w:hAnsi="Arial" w:cs="Arial"/>
                    </w:rPr>
                    <w:t>Utilised Over current MTFP</w:t>
                  </w:r>
                </w:p>
              </w:tc>
              <w:tc>
                <w:tcPr>
                  <w:tcW w:w="1138" w:type="dxa"/>
                  <w:shd w:val="clear" w:color="auto" w:fill="auto"/>
                </w:tcPr>
                <w:p w14:paraId="36867078" w14:textId="5733F32F" w:rsidR="00A002FF" w:rsidRPr="005C478B" w:rsidRDefault="000C2BB3" w:rsidP="007079E9">
                  <w:pPr>
                    <w:pStyle w:val="ListParagraph"/>
                    <w:autoSpaceDE w:val="0"/>
                    <w:autoSpaceDN w:val="0"/>
                    <w:ind w:left="0"/>
                    <w:jc w:val="right"/>
                    <w:rPr>
                      <w:rFonts w:ascii="Arial" w:hAnsi="Arial" w:cs="Arial"/>
                    </w:rPr>
                  </w:pPr>
                  <w:r w:rsidRPr="005C478B">
                    <w:rPr>
                      <w:rFonts w:ascii="Arial" w:hAnsi="Arial" w:cs="Arial"/>
                    </w:rPr>
                    <w:t>0</w:t>
                  </w:r>
                </w:p>
              </w:tc>
              <w:tc>
                <w:tcPr>
                  <w:tcW w:w="1138" w:type="dxa"/>
                  <w:shd w:val="clear" w:color="auto" w:fill="auto"/>
                </w:tcPr>
                <w:p w14:paraId="5E956A28" w14:textId="1E806BB8" w:rsidR="00A002FF" w:rsidRPr="005C478B" w:rsidRDefault="0088048C" w:rsidP="007079E9">
                  <w:pPr>
                    <w:pStyle w:val="ListParagraph"/>
                    <w:autoSpaceDE w:val="0"/>
                    <w:autoSpaceDN w:val="0"/>
                    <w:ind w:left="0"/>
                    <w:jc w:val="right"/>
                    <w:rPr>
                      <w:rFonts w:ascii="Arial" w:hAnsi="Arial" w:cs="Arial"/>
                    </w:rPr>
                  </w:pPr>
                  <w:r w:rsidRPr="005C478B">
                    <w:rPr>
                      <w:rFonts w:ascii="Arial" w:hAnsi="Arial" w:cs="Arial"/>
                    </w:rPr>
                    <w:t>0</w:t>
                  </w:r>
                </w:p>
              </w:tc>
              <w:tc>
                <w:tcPr>
                  <w:tcW w:w="1137" w:type="dxa"/>
                  <w:shd w:val="clear" w:color="auto" w:fill="auto"/>
                </w:tcPr>
                <w:p w14:paraId="25167413" w14:textId="7ADACAA2" w:rsidR="00A002FF" w:rsidRPr="005C478B" w:rsidRDefault="0088048C" w:rsidP="007079E9">
                  <w:pPr>
                    <w:pStyle w:val="ListParagraph"/>
                    <w:autoSpaceDE w:val="0"/>
                    <w:autoSpaceDN w:val="0"/>
                    <w:ind w:left="0"/>
                    <w:jc w:val="right"/>
                    <w:rPr>
                      <w:rFonts w:ascii="Arial" w:hAnsi="Arial" w:cs="Arial"/>
                    </w:rPr>
                  </w:pPr>
                  <w:r w:rsidRPr="005C478B">
                    <w:rPr>
                      <w:rFonts w:ascii="Arial" w:hAnsi="Arial" w:cs="Arial"/>
                    </w:rPr>
                    <w:t>0</w:t>
                  </w:r>
                </w:p>
              </w:tc>
              <w:tc>
                <w:tcPr>
                  <w:tcW w:w="1137" w:type="dxa"/>
                  <w:shd w:val="clear" w:color="auto" w:fill="auto"/>
                </w:tcPr>
                <w:p w14:paraId="696FB3D3" w14:textId="6B1A1450" w:rsidR="00A002FF" w:rsidRPr="005C478B" w:rsidRDefault="005C478B" w:rsidP="007079E9">
                  <w:pPr>
                    <w:pStyle w:val="ListParagraph"/>
                    <w:autoSpaceDE w:val="0"/>
                    <w:autoSpaceDN w:val="0"/>
                    <w:ind w:left="0"/>
                    <w:jc w:val="right"/>
                    <w:rPr>
                      <w:rFonts w:ascii="Arial" w:hAnsi="Arial" w:cs="Arial"/>
                    </w:rPr>
                  </w:pPr>
                  <w:r w:rsidRPr="005C478B">
                    <w:rPr>
                      <w:rFonts w:ascii="Arial" w:hAnsi="Arial" w:cs="Arial"/>
                    </w:rPr>
                    <w:t>1,811</w:t>
                  </w:r>
                </w:p>
              </w:tc>
              <w:tc>
                <w:tcPr>
                  <w:tcW w:w="1137" w:type="dxa"/>
                  <w:shd w:val="clear" w:color="auto" w:fill="auto"/>
                </w:tcPr>
                <w:p w14:paraId="7D5284F5" w14:textId="00BB6952" w:rsidR="00A002FF" w:rsidRPr="005C478B" w:rsidRDefault="005C478B" w:rsidP="007079E9">
                  <w:pPr>
                    <w:pStyle w:val="ListParagraph"/>
                    <w:autoSpaceDE w:val="0"/>
                    <w:autoSpaceDN w:val="0"/>
                    <w:ind w:left="0"/>
                    <w:jc w:val="right"/>
                    <w:rPr>
                      <w:rFonts w:ascii="Arial" w:hAnsi="Arial" w:cs="Arial"/>
                    </w:rPr>
                  </w:pPr>
                  <w:r w:rsidRPr="005C478B">
                    <w:rPr>
                      <w:rFonts w:ascii="Arial" w:hAnsi="Arial" w:cs="Arial"/>
                    </w:rPr>
                    <w:t>3,657</w:t>
                  </w:r>
                </w:p>
              </w:tc>
              <w:tc>
                <w:tcPr>
                  <w:tcW w:w="1137" w:type="dxa"/>
                  <w:shd w:val="clear" w:color="auto" w:fill="auto"/>
                </w:tcPr>
                <w:p w14:paraId="61C3AD01" w14:textId="42686699" w:rsidR="00A002FF" w:rsidRPr="005C478B" w:rsidRDefault="005C478B" w:rsidP="007079E9">
                  <w:pPr>
                    <w:pStyle w:val="ListParagraph"/>
                    <w:autoSpaceDE w:val="0"/>
                    <w:autoSpaceDN w:val="0"/>
                    <w:ind w:left="0"/>
                    <w:jc w:val="right"/>
                    <w:rPr>
                      <w:rFonts w:ascii="Arial" w:hAnsi="Arial" w:cs="Arial"/>
                    </w:rPr>
                  </w:pPr>
                  <w:r w:rsidRPr="005C478B">
                    <w:rPr>
                      <w:rFonts w:ascii="Arial" w:hAnsi="Arial" w:cs="Arial"/>
                    </w:rPr>
                    <w:t>5,803</w:t>
                  </w:r>
                </w:p>
              </w:tc>
            </w:tr>
            <w:tr w:rsidR="000C2BB3" w:rsidRPr="002C3E66" w14:paraId="1D4F76C4" w14:textId="77777777" w:rsidTr="00DC1387">
              <w:tc>
                <w:tcPr>
                  <w:tcW w:w="1552" w:type="dxa"/>
                  <w:shd w:val="clear" w:color="auto" w:fill="auto"/>
                </w:tcPr>
                <w:p w14:paraId="2A03E7BC" w14:textId="77777777" w:rsidR="00A002FF" w:rsidRPr="005C478B" w:rsidRDefault="00A002FF" w:rsidP="007079E9">
                  <w:pPr>
                    <w:pStyle w:val="ListParagraph"/>
                    <w:autoSpaceDE w:val="0"/>
                    <w:autoSpaceDN w:val="0"/>
                    <w:ind w:left="0"/>
                    <w:jc w:val="both"/>
                    <w:rPr>
                      <w:rFonts w:ascii="Arial" w:hAnsi="Arial" w:cs="Arial"/>
                    </w:rPr>
                  </w:pPr>
                  <w:r w:rsidRPr="005C478B">
                    <w:rPr>
                      <w:rFonts w:ascii="Arial" w:hAnsi="Arial" w:cs="Arial"/>
                    </w:rPr>
                    <w:t>Utilised Beyond Current MTFP</w:t>
                  </w:r>
                </w:p>
              </w:tc>
              <w:tc>
                <w:tcPr>
                  <w:tcW w:w="1138" w:type="dxa"/>
                  <w:shd w:val="clear" w:color="auto" w:fill="auto"/>
                </w:tcPr>
                <w:p w14:paraId="72DDEA64" w14:textId="71053349" w:rsidR="00A002FF" w:rsidRPr="005C478B" w:rsidRDefault="005C478B" w:rsidP="007079E9">
                  <w:pPr>
                    <w:pStyle w:val="ListParagraph"/>
                    <w:autoSpaceDE w:val="0"/>
                    <w:autoSpaceDN w:val="0"/>
                    <w:ind w:left="0"/>
                    <w:jc w:val="right"/>
                    <w:rPr>
                      <w:rFonts w:ascii="Arial" w:hAnsi="Arial" w:cs="Arial"/>
                    </w:rPr>
                  </w:pPr>
                  <w:r w:rsidRPr="005C478B">
                    <w:rPr>
                      <w:rFonts w:ascii="Arial" w:hAnsi="Arial" w:cs="Arial"/>
                    </w:rPr>
                    <w:t>14,596</w:t>
                  </w:r>
                </w:p>
              </w:tc>
              <w:tc>
                <w:tcPr>
                  <w:tcW w:w="1138" w:type="dxa"/>
                  <w:shd w:val="clear" w:color="auto" w:fill="auto"/>
                </w:tcPr>
                <w:p w14:paraId="4675E907" w14:textId="156A024D" w:rsidR="00A002FF" w:rsidRPr="005C478B" w:rsidRDefault="005C478B" w:rsidP="007079E9">
                  <w:pPr>
                    <w:pStyle w:val="ListParagraph"/>
                    <w:autoSpaceDE w:val="0"/>
                    <w:autoSpaceDN w:val="0"/>
                    <w:ind w:left="0"/>
                    <w:jc w:val="right"/>
                    <w:rPr>
                      <w:rFonts w:ascii="Arial" w:hAnsi="Arial" w:cs="Arial"/>
                    </w:rPr>
                  </w:pPr>
                  <w:r w:rsidRPr="005C478B">
                    <w:rPr>
                      <w:rFonts w:ascii="Arial" w:hAnsi="Arial" w:cs="Arial"/>
                    </w:rPr>
                    <w:t>1</w:t>
                  </w:r>
                  <w:r w:rsidR="00E100EB">
                    <w:rPr>
                      <w:rFonts w:ascii="Arial" w:hAnsi="Arial" w:cs="Arial"/>
                    </w:rPr>
                    <w:t>1,195</w:t>
                  </w:r>
                </w:p>
              </w:tc>
              <w:tc>
                <w:tcPr>
                  <w:tcW w:w="1137" w:type="dxa"/>
                  <w:shd w:val="clear" w:color="auto" w:fill="auto"/>
                </w:tcPr>
                <w:p w14:paraId="34797E32" w14:textId="0394323C" w:rsidR="00A002FF" w:rsidRPr="005C478B" w:rsidRDefault="00E100EB" w:rsidP="007079E9">
                  <w:pPr>
                    <w:pStyle w:val="ListParagraph"/>
                    <w:autoSpaceDE w:val="0"/>
                    <w:autoSpaceDN w:val="0"/>
                    <w:ind w:left="0"/>
                    <w:jc w:val="right"/>
                    <w:rPr>
                      <w:rFonts w:ascii="Arial" w:hAnsi="Arial" w:cs="Arial"/>
                    </w:rPr>
                  </w:pPr>
                  <w:r>
                    <w:rPr>
                      <w:rFonts w:ascii="Arial" w:hAnsi="Arial" w:cs="Arial"/>
                    </w:rPr>
                    <w:t>10.106</w:t>
                  </w:r>
                </w:p>
              </w:tc>
              <w:tc>
                <w:tcPr>
                  <w:tcW w:w="1137" w:type="dxa"/>
                  <w:shd w:val="clear" w:color="auto" w:fill="auto"/>
                </w:tcPr>
                <w:p w14:paraId="33EB1709" w14:textId="14172E79" w:rsidR="00A002FF" w:rsidRPr="005C478B" w:rsidRDefault="00E100EB" w:rsidP="007079E9">
                  <w:pPr>
                    <w:pStyle w:val="ListParagraph"/>
                    <w:autoSpaceDE w:val="0"/>
                    <w:autoSpaceDN w:val="0"/>
                    <w:ind w:left="0"/>
                    <w:jc w:val="right"/>
                    <w:rPr>
                      <w:rFonts w:ascii="Arial" w:hAnsi="Arial" w:cs="Arial"/>
                    </w:rPr>
                  </w:pPr>
                  <w:r>
                    <w:rPr>
                      <w:rFonts w:ascii="Arial" w:hAnsi="Arial" w:cs="Arial"/>
                    </w:rPr>
                    <w:t>9,667</w:t>
                  </w:r>
                </w:p>
              </w:tc>
              <w:tc>
                <w:tcPr>
                  <w:tcW w:w="1137" w:type="dxa"/>
                  <w:shd w:val="clear" w:color="auto" w:fill="auto"/>
                </w:tcPr>
                <w:p w14:paraId="5CDF8A10" w14:textId="4D1975A5" w:rsidR="00A002FF" w:rsidRPr="005C478B" w:rsidRDefault="00E100EB" w:rsidP="007079E9">
                  <w:pPr>
                    <w:pStyle w:val="ListParagraph"/>
                    <w:autoSpaceDE w:val="0"/>
                    <w:autoSpaceDN w:val="0"/>
                    <w:ind w:left="0"/>
                    <w:jc w:val="right"/>
                    <w:rPr>
                      <w:rFonts w:ascii="Arial" w:hAnsi="Arial" w:cs="Arial"/>
                    </w:rPr>
                  </w:pPr>
                  <w:r>
                    <w:rPr>
                      <w:rFonts w:ascii="Arial" w:hAnsi="Arial" w:cs="Arial"/>
                    </w:rPr>
                    <w:t>9,816</w:t>
                  </w:r>
                </w:p>
              </w:tc>
              <w:tc>
                <w:tcPr>
                  <w:tcW w:w="1137" w:type="dxa"/>
                  <w:shd w:val="clear" w:color="auto" w:fill="auto"/>
                </w:tcPr>
                <w:p w14:paraId="06C060D5" w14:textId="440028C1" w:rsidR="00A002FF" w:rsidRPr="005C478B" w:rsidRDefault="00E100EB" w:rsidP="007079E9">
                  <w:pPr>
                    <w:pStyle w:val="ListParagraph"/>
                    <w:autoSpaceDE w:val="0"/>
                    <w:autoSpaceDN w:val="0"/>
                    <w:ind w:left="0"/>
                    <w:jc w:val="right"/>
                    <w:rPr>
                      <w:rFonts w:ascii="Arial" w:hAnsi="Arial" w:cs="Arial"/>
                    </w:rPr>
                  </w:pPr>
                  <w:r>
                    <w:rPr>
                      <w:rFonts w:ascii="Arial" w:hAnsi="Arial" w:cs="Arial"/>
                    </w:rPr>
                    <w:t>9,668</w:t>
                  </w:r>
                </w:p>
              </w:tc>
            </w:tr>
            <w:tr w:rsidR="000C2BB3" w:rsidRPr="00F81C7D" w14:paraId="4B50B231" w14:textId="77777777" w:rsidTr="00DC1387">
              <w:tc>
                <w:tcPr>
                  <w:tcW w:w="1552" w:type="dxa"/>
                  <w:shd w:val="clear" w:color="auto" w:fill="auto"/>
                </w:tcPr>
                <w:p w14:paraId="0C8BF733" w14:textId="77777777" w:rsidR="00A002FF" w:rsidRPr="005C478B" w:rsidRDefault="00A002FF" w:rsidP="007079E9">
                  <w:pPr>
                    <w:pStyle w:val="ListParagraph"/>
                    <w:autoSpaceDE w:val="0"/>
                    <w:autoSpaceDN w:val="0"/>
                    <w:ind w:left="0"/>
                    <w:jc w:val="both"/>
                    <w:rPr>
                      <w:rFonts w:ascii="Arial" w:hAnsi="Arial" w:cs="Arial"/>
                      <w:b/>
                    </w:rPr>
                  </w:pPr>
                  <w:r w:rsidRPr="005C478B">
                    <w:rPr>
                      <w:rFonts w:ascii="Arial" w:hAnsi="Arial" w:cs="Arial"/>
                      <w:b/>
                    </w:rPr>
                    <w:t>Total</w:t>
                  </w:r>
                </w:p>
              </w:tc>
              <w:tc>
                <w:tcPr>
                  <w:tcW w:w="1138" w:type="dxa"/>
                  <w:shd w:val="clear" w:color="auto" w:fill="auto"/>
                </w:tcPr>
                <w:p w14:paraId="709729A1" w14:textId="6179AE33" w:rsidR="00A002FF" w:rsidRPr="005C478B" w:rsidRDefault="005C478B" w:rsidP="007079E9">
                  <w:pPr>
                    <w:pStyle w:val="ListParagraph"/>
                    <w:autoSpaceDE w:val="0"/>
                    <w:autoSpaceDN w:val="0"/>
                    <w:ind w:left="0"/>
                    <w:jc w:val="right"/>
                    <w:rPr>
                      <w:rFonts w:ascii="Arial" w:hAnsi="Arial" w:cs="Arial"/>
                      <w:b/>
                    </w:rPr>
                  </w:pPr>
                  <w:r w:rsidRPr="005C478B">
                    <w:rPr>
                      <w:rFonts w:ascii="Arial" w:hAnsi="Arial" w:cs="Arial"/>
                      <w:b/>
                    </w:rPr>
                    <w:t>20,09</w:t>
                  </w:r>
                  <w:r>
                    <w:rPr>
                      <w:rFonts w:ascii="Arial" w:hAnsi="Arial" w:cs="Arial"/>
                      <w:b/>
                    </w:rPr>
                    <w:t>6</w:t>
                  </w:r>
                </w:p>
              </w:tc>
              <w:tc>
                <w:tcPr>
                  <w:tcW w:w="1138" w:type="dxa"/>
                  <w:shd w:val="clear" w:color="auto" w:fill="auto"/>
                </w:tcPr>
                <w:p w14:paraId="7224F7FA" w14:textId="02910AB1" w:rsidR="00A002FF" w:rsidRPr="005C478B" w:rsidRDefault="00E100EB" w:rsidP="007079E9">
                  <w:pPr>
                    <w:pStyle w:val="ListParagraph"/>
                    <w:autoSpaceDE w:val="0"/>
                    <w:autoSpaceDN w:val="0"/>
                    <w:ind w:left="0"/>
                    <w:jc w:val="right"/>
                    <w:rPr>
                      <w:rFonts w:ascii="Arial" w:hAnsi="Arial" w:cs="Arial"/>
                      <w:b/>
                    </w:rPr>
                  </w:pPr>
                  <w:r>
                    <w:rPr>
                      <w:rFonts w:ascii="Arial" w:hAnsi="Arial" w:cs="Arial"/>
                      <w:b/>
                    </w:rPr>
                    <w:t>16,695</w:t>
                  </w:r>
                </w:p>
              </w:tc>
              <w:tc>
                <w:tcPr>
                  <w:tcW w:w="1137" w:type="dxa"/>
                  <w:shd w:val="clear" w:color="auto" w:fill="auto"/>
                </w:tcPr>
                <w:p w14:paraId="0F4A20A4" w14:textId="62FBD9CD" w:rsidR="00A002FF" w:rsidRPr="005C478B" w:rsidRDefault="00E100EB" w:rsidP="007079E9">
                  <w:pPr>
                    <w:pStyle w:val="ListParagraph"/>
                    <w:autoSpaceDE w:val="0"/>
                    <w:autoSpaceDN w:val="0"/>
                    <w:ind w:left="0"/>
                    <w:jc w:val="right"/>
                    <w:rPr>
                      <w:rFonts w:ascii="Arial" w:hAnsi="Arial" w:cs="Arial"/>
                      <w:b/>
                    </w:rPr>
                  </w:pPr>
                  <w:r>
                    <w:rPr>
                      <w:rFonts w:ascii="Arial" w:hAnsi="Arial" w:cs="Arial"/>
                      <w:b/>
                    </w:rPr>
                    <w:t>15,606</w:t>
                  </w:r>
                </w:p>
              </w:tc>
              <w:tc>
                <w:tcPr>
                  <w:tcW w:w="1137" w:type="dxa"/>
                  <w:shd w:val="clear" w:color="auto" w:fill="auto"/>
                </w:tcPr>
                <w:p w14:paraId="29D2FFEF" w14:textId="5B2D1A23" w:rsidR="00A002FF" w:rsidRPr="005C478B" w:rsidRDefault="00E100EB" w:rsidP="007079E9">
                  <w:pPr>
                    <w:pStyle w:val="ListParagraph"/>
                    <w:autoSpaceDE w:val="0"/>
                    <w:autoSpaceDN w:val="0"/>
                    <w:ind w:left="0"/>
                    <w:jc w:val="right"/>
                    <w:rPr>
                      <w:rFonts w:ascii="Arial" w:hAnsi="Arial" w:cs="Arial"/>
                      <w:b/>
                    </w:rPr>
                  </w:pPr>
                  <w:r>
                    <w:rPr>
                      <w:rFonts w:ascii="Arial" w:hAnsi="Arial" w:cs="Arial"/>
                      <w:b/>
                    </w:rPr>
                    <w:t>16,978</w:t>
                  </w:r>
                </w:p>
              </w:tc>
              <w:tc>
                <w:tcPr>
                  <w:tcW w:w="1137" w:type="dxa"/>
                  <w:shd w:val="clear" w:color="auto" w:fill="auto"/>
                </w:tcPr>
                <w:p w14:paraId="1EB12AD3" w14:textId="3B3B9EB6" w:rsidR="00A002FF" w:rsidRPr="005C478B" w:rsidRDefault="00E100EB" w:rsidP="007079E9">
                  <w:pPr>
                    <w:pStyle w:val="ListParagraph"/>
                    <w:autoSpaceDE w:val="0"/>
                    <w:autoSpaceDN w:val="0"/>
                    <w:ind w:left="0"/>
                    <w:jc w:val="right"/>
                    <w:rPr>
                      <w:rFonts w:ascii="Arial" w:hAnsi="Arial" w:cs="Arial"/>
                      <w:b/>
                    </w:rPr>
                  </w:pPr>
                  <w:r>
                    <w:rPr>
                      <w:rFonts w:ascii="Arial" w:hAnsi="Arial" w:cs="Arial"/>
                      <w:b/>
                    </w:rPr>
                    <w:t>18,973</w:t>
                  </w:r>
                </w:p>
              </w:tc>
              <w:tc>
                <w:tcPr>
                  <w:tcW w:w="1137" w:type="dxa"/>
                  <w:shd w:val="clear" w:color="auto" w:fill="auto"/>
                </w:tcPr>
                <w:p w14:paraId="0DC4A092" w14:textId="19875F44" w:rsidR="00A002FF" w:rsidRPr="005C478B" w:rsidRDefault="005C478B" w:rsidP="007079E9">
                  <w:pPr>
                    <w:pStyle w:val="ListParagraph"/>
                    <w:autoSpaceDE w:val="0"/>
                    <w:autoSpaceDN w:val="0"/>
                    <w:ind w:left="0"/>
                    <w:jc w:val="right"/>
                    <w:rPr>
                      <w:rFonts w:ascii="Arial" w:hAnsi="Arial" w:cs="Arial"/>
                      <w:b/>
                    </w:rPr>
                  </w:pPr>
                  <w:r w:rsidRPr="005C478B">
                    <w:rPr>
                      <w:rFonts w:ascii="Arial" w:hAnsi="Arial" w:cs="Arial"/>
                      <w:b/>
                    </w:rPr>
                    <w:t>2</w:t>
                  </w:r>
                  <w:r w:rsidR="00E100EB">
                    <w:rPr>
                      <w:rFonts w:ascii="Arial" w:hAnsi="Arial" w:cs="Arial"/>
                      <w:b/>
                    </w:rPr>
                    <w:t>0,971</w:t>
                  </w:r>
                </w:p>
              </w:tc>
            </w:tr>
          </w:tbl>
          <w:p w14:paraId="71D0E1A2" w14:textId="77777777" w:rsidR="004B4520" w:rsidRPr="00F81C7D" w:rsidRDefault="004B4520" w:rsidP="007079E9">
            <w:pPr>
              <w:pStyle w:val="Default"/>
              <w:ind w:left="720"/>
              <w:jc w:val="both"/>
              <w:rPr>
                <w:sz w:val="23"/>
                <w:szCs w:val="23"/>
              </w:rPr>
            </w:pPr>
          </w:p>
          <w:p w14:paraId="756CE9E7" w14:textId="77777777" w:rsidR="00F5207B" w:rsidRPr="00F81C7D" w:rsidRDefault="00F5207B" w:rsidP="007079E9">
            <w:pPr>
              <w:pStyle w:val="ListParagraph"/>
              <w:autoSpaceDE w:val="0"/>
              <w:autoSpaceDN w:val="0"/>
              <w:ind w:left="0"/>
              <w:jc w:val="both"/>
              <w:rPr>
                <w:rFonts w:ascii="Arial" w:hAnsi="Arial" w:cs="Arial"/>
              </w:rPr>
            </w:pPr>
            <w:r w:rsidRPr="00F81C7D">
              <w:rPr>
                <w:rFonts w:ascii="Arial" w:hAnsi="Arial" w:cs="Arial"/>
              </w:rPr>
              <w:t xml:space="preserve">Paragraph </w:t>
            </w:r>
            <w:r w:rsidR="00FC6E66" w:rsidRPr="00F81C7D">
              <w:rPr>
                <w:rFonts w:ascii="Arial" w:hAnsi="Arial" w:cs="Arial"/>
              </w:rPr>
              <w:t>4</w:t>
            </w:r>
            <w:r w:rsidRPr="00F81C7D">
              <w:rPr>
                <w:rFonts w:ascii="Arial" w:hAnsi="Arial" w:cs="Arial"/>
              </w:rPr>
              <w:t>.1 above, articulates the categories of ‘usable reserves</w:t>
            </w:r>
            <w:r w:rsidR="008F3859" w:rsidRPr="00F81C7D">
              <w:rPr>
                <w:rFonts w:ascii="Arial" w:hAnsi="Arial" w:cs="Arial"/>
              </w:rPr>
              <w:t xml:space="preserve"> and committed funds</w:t>
            </w:r>
            <w:r w:rsidRPr="00F81C7D">
              <w:rPr>
                <w:rFonts w:ascii="Arial" w:hAnsi="Arial" w:cs="Arial"/>
              </w:rPr>
              <w:t xml:space="preserve">’ held by the Commissioner, i.e. those reserves </w:t>
            </w:r>
            <w:r w:rsidR="008F3859" w:rsidRPr="00F81C7D">
              <w:rPr>
                <w:rFonts w:ascii="Arial" w:hAnsi="Arial" w:cs="Arial"/>
              </w:rPr>
              <w:t xml:space="preserve">and committed funds </w:t>
            </w:r>
            <w:r w:rsidRPr="00F81C7D">
              <w:rPr>
                <w:rFonts w:ascii="Arial" w:hAnsi="Arial" w:cs="Arial"/>
              </w:rPr>
              <w:t>that are ‘cash-backed’.  On the technical accounting side however, the Commissioner also holds ‘unusable reserves’.  These reserves are not cash-backed and arise out of the interaction of legislation and proper accounting practice, either to:</w:t>
            </w:r>
          </w:p>
          <w:p w14:paraId="6E562C0A" w14:textId="77777777" w:rsidR="00F5207B" w:rsidRPr="00F81C7D" w:rsidRDefault="00F5207B" w:rsidP="007079E9">
            <w:pPr>
              <w:pStyle w:val="ListParagraph"/>
              <w:autoSpaceDE w:val="0"/>
              <w:autoSpaceDN w:val="0"/>
              <w:ind w:left="717"/>
              <w:jc w:val="both"/>
              <w:rPr>
                <w:rFonts w:ascii="Arial" w:hAnsi="Arial" w:cs="Arial"/>
              </w:rPr>
            </w:pPr>
          </w:p>
          <w:p w14:paraId="7AE475D6" w14:textId="77777777" w:rsidR="00F5207B" w:rsidRPr="00F81C7D" w:rsidRDefault="00F5207B" w:rsidP="007079E9">
            <w:pPr>
              <w:pStyle w:val="ListParagraph"/>
              <w:numPr>
                <w:ilvl w:val="0"/>
                <w:numId w:val="9"/>
              </w:numPr>
              <w:autoSpaceDE w:val="0"/>
              <w:autoSpaceDN w:val="0"/>
              <w:ind w:left="357" w:hanging="357"/>
              <w:jc w:val="both"/>
              <w:rPr>
                <w:rFonts w:ascii="Arial" w:hAnsi="Arial" w:cs="Arial"/>
              </w:rPr>
            </w:pPr>
            <w:r w:rsidRPr="00F81C7D">
              <w:rPr>
                <w:rFonts w:ascii="Arial" w:hAnsi="Arial" w:cs="Arial"/>
              </w:rPr>
              <w:t>Store revaluation gains (e.g. on property revaluations); or</w:t>
            </w:r>
          </w:p>
          <w:p w14:paraId="29899CD6" w14:textId="77777777" w:rsidR="00F5207B" w:rsidRPr="00F81C7D" w:rsidRDefault="00F5207B" w:rsidP="007079E9">
            <w:pPr>
              <w:pStyle w:val="ListParagraph"/>
              <w:numPr>
                <w:ilvl w:val="0"/>
                <w:numId w:val="9"/>
              </w:numPr>
              <w:autoSpaceDE w:val="0"/>
              <w:autoSpaceDN w:val="0"/>
              <w:ind w:left="357" w:hanging="357"/>
              <w:jc w:val="both"/>
              <w:rPr>
                <w:rFonts w:ascii="Arial" w:hAnsi="Arial" w:cs="Arial"/>
              </w:rPr>
            </w:pPr>
            <w:r w:rsidRPr="00F81C7D">
              <w:rPr>
                <w:rFonts w:ascii="Arial" w:hAnsi="Arial" w:cs="Arial"/>
              </w:rPr>
              <w:t xml:space="preserve">As adjustment accounts to reconcile accounting requirements driven by reporting standards, to statutory </w:t>
            </w:r>
            <w:r w:rsidR="009652E6" w:rsidRPr="00F81C7D">
              <w:rPr>
                <w:rFonts w:ascii="Arial" w:hAnsi="Arial" w:cs="Arial"/>
              </w:rPr>
              <w:t>requirements (</w:t>
            </w:r>
            <w:r w:rsidRPr="00F81C7D">
              <w:rPr>
                <w:rFonts w:ascii="Arial" w:hAnsi="Arial" w:cs="Arial"/>
              </w:rPr>
              <w:t>e.g. the Pension Reserve)</w:t>
            </w:r>
            <w:r w:rsidR="00D6578D" w:rsidRPr="00F81C7D">
              <w:rPr>
                <w:rFonts w:ascii="Arial" w:hAnsi="Arial" w:cs="Arial"/>
              </w:rPr>
              <w:t>.</w:t>
            </w:r>
          </w:p>
          <w:p w14:paraId="1F528E98" w14:textId="77777777" w:rsidR="00F5207B" w:rsidRPr="00F81C7D" w:rsidRDefault="00F5207B" w:rsidP="007079E9">
            <w:pPr>
              <w:pStyle w:val="ListParagraph"/>
              <w:ind w:left="0"/>
              <w:rPr>
                <w:rFonts w:ascii="Arial" w:hAnsi="Arial" w:cs="Arial"/>
              </w:rPr>
            </w:pPr>
          </w:p>
          <w:p w14:paraId="3D351052" w14:textId="77777777" w:rsidR="00F5207B" w:rsidRPr="00F81C7D" w:rsidRDefault="00F5207B" w:rsidP="007079E9">
            <w:pPr>
              <w:pStyle w:val="ListParagraph"/>
              <w:ind w:left="0"/>
              <w:jc w:val="both"/>
              <w:rPr>
                <w:rFonts w:ascii="Arial" w:hAnsi="Arial" w:cs="Arial"/>
              </w:rPr>
            </w:pPr>
            <w:r w:rsidRPr="00F81C7D">
              <w:rPr>
                <w:rFonts w:ascii="Arial" w:hAnsi="Arial" w:cs="Arial"/>
              </w:rPr>
              <w:t>The remainder of this report will focus on the Commissioner’s usable and therefore cash-backed reserves</w:t>
            </w:r>
            <w:r w:rsidR="008F3859" w:rsidRPr="00F81C7D">
              <w:rPr>
                <w:rFonts w:ascii="Arial" w:hAnsi="Arial" w:cs="Arial"/>
              </w:rPr>
              <w:t xml:space="preserve"> and committed funds</w:t>
            </w:r>
            <w:r w:rsidRPr="00F81C7D">
              <w:rPr>
                <w:rFonts w:ascii="Arial" w:hAnsi="Arial" w:cs="Arial"/>
              </w:rPr>
              <w:t>.</w:t>
            </w:r>
          </w:p>
          <w:p w14:paraId="37BFEEFC" w14:textId="77777777" w:rsidR="00F5207B" w:rsidRPr="00F81C7D" w:rsidRDefault="00F5207B" w:rsidP="007079E9">
            <w:pPr>
              <w:pStyle w:val="ListParagraph"/>
              <w:ind w:left="0"/>
              <w:rPr>
                <w:rFonts w:ascii="Arial" w:hAnsi="Arial" w:cs="Arial"/>
              </w:rPr>
            </w:pPr>
          </w:p>
          <w:p w14:paraId="5940012D" w14:textId="48652380" w:rsidR="000E21F2" w:rsidRPr="00F81C7D" w:rsidRDefault="005200D4" w:rsidP="007079E9">
            <w:pPr>
              <w:pStyle w:val="ListParagraph"/>
              <w:ind w:left="0"/>
              <w:jc w:val="both"/>
              <w:rPr>
                <w:rFonts w:ascii="Arial" w:hAnsi="Arial" w:cs="Arial"/>
              </w:rPr>
            </w:pPr>
            <w:r w:rsidRPr="00F81C7D">
              <w:rPr>
                <w:rFonts w:ascii="Arial" w:hAnsi="Arial" w:cs="Arial"/>
              </w:rPr>
              <w:lastRenderedPageBreak/>
              <w:t xml:space="preserve">Whilst Appendix </w:t>
            </w:r>
            <w:r w:rsidR="006855A3" w:rsidRPr="00F81C7D">
              <w:rPr>
                <w:rFonts w:ascii="Arial" w:hAnsi="Arial" w:cs="Arial"/>
              </w:rPr>
              <w:t>2</w:t>
            </w:r>
            <w:r w:rsidRPr="00F81C7D">
              <w:rPr>
                <w:rFonts w:ascii="Arial" w:hAnsi="Arial" w:cs="Arial"/>
              </w:rPr>
              <w:t xml:space="preserve"> provides a detailed projection of the Commissioner’s reserves and committed funds up until 31</w:t>
            </w:r>
            <w:r w:rsidRPr="00F81C7D">
              <w:rPr>
                <w:rFonts w:ascii="Arial" w:hAnsi="Arial" w:cs="Arial"/>
                <w:vertAlign w:val="superscript"/>
              </w:rPr>
              <w:t>st</w:t>
            </w:r>
            <w:r w:rsidRPr="00F81C7D">
              <w:rPr>
                <w:rFonts w:ascii="Arial" w:hAnsi="Arial" w:cs="Arial"/>
              </w:rPr>
              <w:t xml:space="preserve"> March 20</w:t>
            </w:r>
            <w:r w:rsidR="00032E21">
              <w:rPr>
                <w:rFonts w:ascii="Arial" w:hAnsi="Arial" w:cs="Arial"/>
              </w:rPr>
              <w:t>30</w:t>
            </w:r>
            <w:r w:rsidR="000E21F2" w:rsidRPr="00F81C7D">
              <w:rPr>
                <w:rFonts w:ascii="Arial" w:hAnsi="Arial" w:cs="Arial"/>
              </w:rPr>
              <w:t xml:space="preserve">, it must be noted that the Commissioner </w:t>
            </w:r>
            <w:r w:rsidR="00032E21">
              <w:rPr>
                <w:rFonts w:ascii="Arial" w:hAnsi="Arial" w:cs="Arial"/>
              </w:rPr>
              <w:t xml:space="preserve">is currently developing their Police and </w:t>
            </w:r>
            <w:r w:rsidR="005A7C71">
              <w:rPr>
                <w:rFonts w:ascii="Arial" w:hAnsi="Arial" w:cs="Arial"/>
              </w:rPr>
              <w:t>Crime</w:t>
            </w:r>
            <w:r w:rsidR="00032E21">
              <w:rPr>
                <w:rFonts w:ascii="Arial" w:hAnsi="Arial" w:cs="Arial"/>
              </w:rPr>
              <w:t xml:space="preserve"> and Plan which in turn will drive </w:t>
            </w:r>
            <w:r w:rsidR="005A7C71">
              <w:rPr>
                <w:rFonts w:ascii="Arial" w:hAnsi="Arial" w:cs="Arial"/>
              </w:rPr>
              <w:t>a</w:t>
            </w:r>
            <w:r w:rsidR="00032E21">
              <w:rPr>
                <w:rFonts w:ascii="Arial" w:hAnsi="Arial" w:cs="Arial"/>
              </w:rPr>
              <w:t xml:space="preserve"> revised</w:t>
            </w:r>
            <w:r w:rsidR="000E21F2" w:rsidRPr="00F81C7D">
              <w:rPr>
                <w:rFonts w:ascii="Arial" w:hAnsi="Arial" w:cs="Arial"/>
              </w:rPr>
              <w:t xml:space="preserve"> Estate Strategy </w:t>
            </w:r>
            <w:r w:rsidR="00032E21">
              <w:rPr>
                <w:rFonts w:ascii="Arial" w:hAnsi="Arial" w:cs="Arial"/>
              </w:rPr>
              <w:t>from April 2025</w:t>
            </w:r>
            <w:r w:rsidR="009E6FE0" w:rsidRPr="00F81C7D">
              <w:rPr>
                <w:rFonts w:ascii="Arial" w:hAnsi="Arial" w:cs="Arial"/>
              </w:rPr>
              <w:t xml:space="preserve">.  </w:t>
            </w:r>
            <w:r w:rsidR="005040D0" w:rsidRPr="00F81C7D">
              <w:rPr>
                <w:rFonts w:ascii="Arial" w:hAnsi="Arial" w:cs="Arial"/>
              </w:rPr>
              <w:t>At the time of writing</w:t>
            </w:r>
            <w:r w:rsidR="00032E21">
              <w:rPr>
                <w:rFonts w:ascii="Arial" w:hAnsi="Arial" w:cs="Arial"/>
              </w:rPr>
              <w:t xml:space="preserve"> therefore</w:t>
            </w:r>
            <w:r w:rsidR="005040D0" w:rsidRPr="00F81C7D">
              <w:rPr>
                <w:rFonts w:ascii="Arial" w:hAnsi="Arial" w:cs="Arial"/>
              </w:rPr>
              <w:t>, i</w:t>
            </w:r>
            <w:r w:rsidR="000E21F2" w:rsidRPr="00F81C7D">
              <w:rPr>
                <w:rFonts w:ascii="Arial" w:hAnsi="Arial" w:cs="Arial"/>
              </w:rPr>
              <w:t xml:space="preserve">ndicative </w:t>
            </w:r>
            <w:r w:rsidR="00F57E17">
              <w:rPr>
                <w:rFonts w:ascii="Arial" w:hAnsi="Arial" w:cs="Arial"/>
              </w:rPr>
              <w:t xml:space="preserve">and budgeted </w:t>
            </w:r>
            <w:r w:rsidR="000E21F2" w:rsidRPr="00F81C7D">
              <w:rPr>
                <w:rFonts w:ascii="Arial" w:hAnsi="Arial" w:cs="Arial"/>
              </w:rPr>
              <w:t xml:space="preserve">costs </w:t>
            </w:r>
            <w:r w:rsidR="005040D0" w:rsidRPr="00F81C7D">
              <w:rPr>
                <w:rFonts w:ascii="Arial" w:hAnsi="Arial" w:cs="Arial"/>
              </w:rPr>
              <w:t xml:space="preserve">for </w:t>
            </w:r>
            <w:r w:rsidR="000E21F2" w:rsidRPr="00F81C7D">
              <w:rPr>
                <w:rFonts w:ascii="Arial" w:hAnsi="Arial" w:cs="Arial"/>
              </w:rPr>
              <w:t xml:space="preserve">the delivery of </w:t>
            </w:r>
            <w:r w:rsidR="00032E21">
              <w:rPr>
                <w:rFonts w:ascii="Arial" w:hAnsi="Arial" w:cs="Arial"/>
              </w:rPr>
              <w:t>ongoing and approved works</w:t>
            </w:r>
            <w:r w:rsidR="005040D0" w:rsidRPr="00F81C7D">
              <w:rPr>
                <w:rFonts w:ascii="Arial" w:hAnsi="Arial" w:cs="Arial"/>
              </w:rPr>
              <w:t>, at various degrees of refinement, have been accounted for in the MTFP and</w:t>
            </w:r>
            <w:r w:rsidR="000E21F2" w:rsidRPr="00F81C7D">
              <w:rPr>
                <w:rFonts w:ascii="Arial" w:hAnsi="Arial" w:cs="Arial"/>
              </w:rPr>
              <w:t xml:space="preserve"> the Reserves </w:t>
            </w:r>
            <w:r w:rsidR="008F3859" w:rsidRPr="00F81C7D">
              <w:rPr>
                <w:rFonts w:ascii="Arial" w:hAnsi="Arial" w:cs="Arial"/>
              </w:rPr>
              <w:t xml:space="preserve">and Committed Funds </w:t>
            </w:r>
            <w:r w:rsidR="000E21F2" w:rsidRPr="00F81C7D">
              <w:rPr>
                <w:rFonts w:ascii="Arial" w:hAnsi="Arial" w:cs="Arial"/>
              </w:rPr>
              <w:t xml:space="preserve">Strategy.  </w:t>
            </w:r>
          </w:p>
          <w:p w14:paraId="077A0E11" w14:textId="77777777" w:rsidR="000E21F2" w:rsidRPr="00F81C7D" w:rsidRDefault="000E21F2" w:rsidP="007079E9">
            <w:pPr>
              <w:pStyle w:val="ListParagraph"/>
              <w:ind w:left="0"/>
              <w:jc w:val="both"/>
              <w:rPr>
                <w:rFonts w:ascii="Arial" w:hAnsi="Arial" w:cs="Arial"/>
              </w:rPr>
            </w:pPr>
          </w:p>
          <w:p w14:paraId="707A592C" w14:textId="512CB6B4" w:rsidR="000E21F2" w:rsidRPr="00F81C7D" w:rsidRDefault="000E21F2" w:rsidP="007079E9">
            <w:pPr>
              <w:pStyle w:val="ListParagraph"/>
              <w:ind w:left="0"/>
              <w:jc w:val="both"/>
              <w:rPr>
                <w:rFonts w:ascii="Arial" w:hAnsi="Arial" w:cs="Arial"/>
              </w:rPr>
            </w:pPr>
            <w:r w:rsidRPr="004724DF">
              <w:rPr>
                <w:rFonts w:ascii="Arial" w:hAnsi="Arial" w:cs="Arial"/>
              </w:rPr>
              <w:t>In a similar vein,</w:t>
            </w:r>
            <w:r w:rsidRPr="00F81C7D">
              <w:rPr>
                <w:rFonts w:ascii="Arial" w:hAnsi="Arial" w:cs="Arial"/>
              </w:rPr>
              <w:t xml:space="preserve"> Gwent Police </w:t>
            </w:r>
            <w:r w:rsidR="00F57E17">
              <w:rPr>
                <w:rFonts w:ascii="Arial" w:hAnsi="Arial" w:cs="Arial"/>
              </w:rPr>
              <w:t>continue to set and refine</w:t>
            </w:r>
            <w:r w:rsidRPr="00F81C7D">
              <w:rPr>
                <w:rFonts w:ascii="Arial" w:hAnsi="Arial" w:cs="Arial"/>
              </w:rPr>
              <w:t xml:space="preserve"> the revenue and capital investment</w:t>
            </w:r>
            <w:r w:rsidR="00F57E17">
              <w:rPr>
                <w:rFonts w:ascii="Arial" w:hAnsi="Arial" w:cs="Arial"/>
              </w:rPr>
              <w:t>s</w:t>
            </w:r>
            <w:r w:rsidRPr="00F81C7D">
              <w:rPr>
                <w:rFonts w:ascii="Arial" w:hAnsi="Arial" w:cs="Arial"/>
              </w:rPr>
              <w:t xml:space="preserve"> requirement into </w:t>
            </w:r>
            <w:r w:rsidR="00374400">
              <w:rPr>
                <w:rFonts w:ascii="Arial" w:hAnsi="Arial" w:cs="Arial"/>
              </w:rPr>
              <w:t xml:space="preserve">continuing </w:t>
            </w:r>
            <w:r w:rsidRPr="00F81C7D">
              <w:rPr>
                <w:rFonts w:ascii="Arial" w:hAnsi="Arial" w:cs="Arial"/>
              </w:rPr>
              <w:t xml:space="preserve">their Programme </w:t>
            </w:r>
            <w:r w:rsidR="00D30D8B" w:rsidRPr="00F81C7D">
              <w:rPr>
                <w:rFonts w:ascii="Arial" w:hAnsi="Arial" w:cs="Arial"/>
              </w:rPr>
              <w:t>Fusion</w:t>
            </w:r>
            <w:r w:rsidR="00D30D8B" w:rsidRPr="00F81C7D">
              <w:rPr>
                <w:rStyle w:val="FootnoteReference"/>
                <w:rFonts w:ascii="Arial" w:hAnsi="Arial" w:cs="Arial"/>
              </w:rPr>
              <w:footnoteReference w:id="3"/>
            </w:r>
            <w:r w:rsidR="00D30D8B" w:rsidRPr="00F81C7D">
              <w:rPr>
                <w:rFonts w:ascii="Arial" w:hAnsi="Arial" w:cs="Arial"/>
              </w:rPr>
              <w:t xml:space="preserve"> </w:t>
            </w:r>
            <w:r w:rsidRPr="00F81C7D">
              <w:rPr>
                <w:rFonts w:ascii="Arial" w:hAnsi="Arial" w:cs="Arial"/>
              </w:rPr>
              <w:t>with South Wales Police</w:t>
            </w:r>
            <w:r w:rsidR="004724DF">
              <w:rPr>
                <w:rFonts w:ascii="Arial" w:hAnsi="Arial" w:cs="Arial"/>
              </w:rPr>
              <w:t>, which delivers the National and Force’s Digital Strategies; and the ICT Strategy delivered through the Share</w:t>
            </w:r>
            <w:r w:rsidR="0042196C">
              <w:rPr>
                <w:rFonts w:ascii="Arial" w:hAnsi="Arial" w:cs="Arial"/>
              </w:rPr>
              <w:t>d</w:t>
            </w:r>
            <w:r w:rsidR="004724DF">
              <w:rPr>
                <w:rFonts w:ascii="Arial" w:hAnsi="Arial" w:cs="Arial"/>
              </w:rPr>
              <w:t xml:space="preserve"> Resources Services (SRS) collaboration with Local Authorities across Gwent.</w:t>
            </w:r>
            <w:r w:rsidRPr="00F81C7D">
              <w:rPr>
                <w:rFonts w:ascii="Arial" w:hAnsi="Arial" w:cs="Arial"/>
              </w:rPr>
              <w:t xml:space="preserve">  As the Estate Strategy and </w:t>
            </w:r>
            <w:r w:rsidR="004724DF">
              <w:rPr>
                <w:rFonts w:ascii="Arial" w:hAnsi="Arial" w:cs="Arial"/>
              </w:rPr>
              <w:t>Digital/ICT Str</w:t>
            </w:r>
            <w:r w:rsidR="00233AB1">
              <w:rPr>
                <w:rFonts w:ascii="Arial" w:hAnsi="Arial" w:cs="Arial"/>
              </w:rPr>
              <w:t>a</w:t>
            </w:r>
            <w:r w:rsidR="004724DF">
              <w:rPr>
                <w:rFonts w:ascii="Arial" w:hAnsi="Arial" w:cs="Arial"/>
              </w:rPr>
              <w:t>teg</w:t>
            </w:r>
            <w:r w:rsidR="00233AB1">
              <w:rPr>
                <w:rFonts w:ascii="Arial" w:hAnsi="Arial" w:cs="Arial"/>
              </w:rPr>
              <w:t>ies’</w:t>
            </w:r>
            <w:r w:rsidRPr="00F81C7D">
              <w:rPr>
                <w:rFonts w:ascii="Arial" w:hAnsi="Arial" w:cs="Arial"/>
              </w:rPr>
              <w:t xml:space="preserve"> costings are </w:t>
            </w:r>
            <w:r w:rsidR="005040D0" w:rsidRPr="00F81C7D">
              <w:rPr>
                <w:rFonts w:ascii="Arial" w:hAnsi="Arial" w:cs="Arial"/>
              </w:rPr>
              <w:t xml:space="preserve">further </w:t>
            </w:r>
            <w:r w:rsidRPr="00F81C7D">
              <w:rPr>
                <w:rFonts w:ascii="Arial" w:hAnsi="Arial" w:cs="Arial"/>
              </w:rPr>
              <w:t xml:space="preserve">refined during </w:t>
            </w:r>
            <w:r w:rsidR="005040D0" w:rsidRPr="00F81C7D">
              <w:rPr>
                <w:rFonts w:ascii="Arial" w:hAnsi="Arial" w:cs="Arial"/>
              </w:rPr>
              <w:t>forthcoming months</w:t>
            </w:r>
            <w:r w:rsidRPr="00F81C7D">
              <w:rPr>
                <w:rFonts w:ascii="Arial" w:hAnsi="Arial" w:cs="Arial"/>
              </w:rPr>
              <w:t xml:space="preserve">, the funding of </w:t>
            </w:r>
            <w:r w:rsidR="005040D0" w:rsidRPr="00F81C7D">
              <w:rPr>
                <w:rFonts w:ascii="Arial" w:hAnsi="Arial" w:cs="Arial"/>
              </w:rPr>
              <w:t xml:space="preserve">both </w:t>
            </w:r>
            <w:r w:rsidRPr="00F81C7D">
              <w:rPr>
                <w:rFonts w:ascii="Arial" w:hAnsi="Arial" w:cs="Arial"/>
              </w:rPr>
              <w:t xml:space="preserve">will be </w:t>
            </w:r>
            <w:r w:rsidR="000565C9" w:rsidRPr="00F81C7D">
              <w:rPr>
                <w:rFonts w:ascii="Arial" w:hAnsi="Arial" w:cs="Arial"/>
              </w:rPr>
              <w:t>updat</w:t>
            </w:r>
            <w:r w:rsidRPr="00F81C7D">
              <w:rPr>
                <w:rFonts w:ascii="Arial" w:hAnsi="Arial" w:cs="Arial"/>
              </w:rPr>
              <w:t xml:space="preserve">ed in the MTFP and Reserves </w:t>
            </w:r>
            <w:r w:rsidR="00A702EB" w:rsidRPr="00F81C7D">
              <w:rPr>
                <w:rFonts w:ascii="Arial" w:hAnsi="Arial" w:cs="Arial"/>
              </w:rPr>
              <w:t xml:space="preserve">and Committed Funds </w:t>
            </w:r>
            <w:r w:rsidRPr="00F81C7D">
              <w:rPr>
                <w:rFonts w:ascii="Arial" w:hAnsi="Arial" w:cs="Arial"/>
              </w:rPr>
              <w:t>Strategy presented to the</w:t>
            </w:r>
            <w:r w:rsidR="003A4B75">
              <w:rPr>
                <w:rFonts w:ascii="Arial" w:hAnsi="Arial" w:cs="Arial"/>
              </w:rPr>
              <w:t xml:space="preserve"> January </w:t>
            </w:r>
            <w:r w:rsidR="0042196C">
              <w:rPr>
                <w:rFonts w:ascii="Arial" w:hAnsi="Arial" w:cs="Arial"/>
              </w:rPr>
              <w:t>202</w:t>
            </w:r>
            <w:r w:rsidR="00032E21">
              <w:rPr>
                <w:rFonts w:ascii="Arial" w:hAnsi="Arial" w:cs="Arial"/>
              </w:rPr>
              <w:t>5</w:t>
            </w:r>
            <w:r w:rsidR="0042196C">
              <w:rPr>
                <w:rFonts w:ascii="Arial" w:hAnsi="Arial" w:cs="Arial"/>
              </w:rPr>
              <w:t xml:space="preserve"> </w:t>
            </w:r>
            <w:r w:rsidRPr="00F81C7D">
              <w:rPr>
                <w:rFonts w:ascii="Arial" w:hAnsi="Arial" w:cs="Arial"/>
              </w:rPr>
              <w:t>PCP.</w:t>
            </w:r>
          </w:p>
          <w:p w14:paraId="20BBD344" w14:textId="77777777" w:rsidR="009E6FE0" w:rsidRPr="00F81C7D" w:rsidRDefault="009E6FE0" w:rsidP="007079E9">
            <w:pPr>
              <w:pStyle w:val="ListParagraph"/>
              <w:ind w:left="0"/>
              <w:jc w:val="both"/>
              <w:rPr>
                <w:rFonts w:ascii="Arial" w:hAnsi="Arial" w:cs="Arial"/>
              </w:rPr>
            </w:pPr>
          </w:p>
          <w:p w14:paraId="60A488EE" w14:textId="77777777" w:rsidR="00F5207B" w:rsidRPr="00F81C7D" w:rsidRDefault="00D967BA" w:rsidP="007079E9">
            <w:pPr>
              <w:pStyle w:val="ListParagraph"/>
              <w:ind w:left="0"/>
              <w:jc w:val="both"/>
              <w:rPr>
                <w:rFonts w:ascii="Arial" w:hAnsi="Arial" w:cs="Arial"/>
              </w:rPr>
            </w:pPr>
            <w:r w:rsidRPr="00F81C7D">
              <w:rPr>
                <w:rFonts w:ascii="Arial" w:hAnsi="Arial" w:cs="Arial"/>
              </w:rPr>
              <w:t>On the basis of the above caveats, t</w:t>
            </w:r>
            <w:r w:rsidR="00F5207B" w:rsidRPr="00F81C7D">
              <w:rPr>
                <w:rFonts w:ascii="Arial" w:hAnsi="Arial" w:cs="Arial"/>
              </w:rPr>
              <w:t xml:space="preserve">he following paragraphs provide the purpose/reason for each individual reserve </w:t>
            </w:r>
            <w:r w:rsidR="00FA0DCF" w:rsidRPr="00F81C7D">
              <w:rPr>
                <w:rFonts w:ascii="Arial" w:hAnsi="Arial" w:cs="Arial"/>
              </w:rPr>
              <w:t xml:space="preserve">and committed fund </w:t>
            </w:r>
            <w:r w:rsidR="00E618EF" w:rsidRPr="00F81C7D">
              <w:rPr>
                <w:rFonts w:ascii="Arial" w:hAnsi="Arial" w:cs="Arial"/>
              </w:rPr>
              <w:t>identified on</w:t>
            </w:r>
            <w:r w:rsidR="00F5207B" w:rsidRPr="00F81C7D">
              <w:rPr>
                <w:rFonts w:ascii="Arial" w:hAnsi="Arial" w:cs="Arial"/>
              </w:rPr>
              <w:t xml:space="preserve"> Appendix </w:t>
            </w:r>
            <w:r w:rsidR="00E618EF" w:rsidRPr="00F81C7D">
              <w:rPr>
                <w:rFonts w:ascii="Arial" w:hAnsi="Arial" w:cs="Arial"/>
              </w:rPr>
              <w:t xml:space="preserve">2 </w:t>
            </w:r>
            <w:r w:rsidR="00F5207B" w:rsidRPr="00F81C7D">
              <w:rPr>
                <w:rFonts w:ascii="Arial" w:hAnsi="Arial" w:cs="Arial"/>
              </w:rPr>
              <w:t>and also details of its planned utilisation.</w:t>
            </w:r>
          </w:p>
          <w:p w14:paraId="2325F944" w14:textId="77777777" w:rsidR="00F5207B" w:rsidRPr="00F81C7D" w:rsidRDefault="00F5207B" w:rsidP="007079E9">
            <w:pPr>
              <w:pStyle w:val="ListParagraph"/>
              <w:ind w:left="0"/>
              <w:jc w:val="both"/>
              <w:rPr>
                <w:rFonts w:ascii="Arial" w:hAnsi="Arial" w:cs="Arial"/>
              </w:rPr>
            </w:pPr>
          </w:p>
          <w:p w14:paraId="02D86146" w14:textId="77777777" w:rsidR="00F5207B" w:rsidRPr="00F81C7D" w:rsidRDefault="00A3522E" w:rsidP="007079E9">
            <w:pPr>
              <w:pStyle w:val="ListParagraph"/>
              <w:ind w:left="0"/>
              <w:jc w:val="both"/>
              <w:rPr>
                <w:rFonts w:ascii="Arial" w:hAnsi="Arial" w:cs="Arial"/>
                <w:u w:val="single"/>
              </w:rPr>
            </w:pPr>
            <w:r w:rsidRPr="00F81C7D">
              <w:rPr>
                <w:rFonts w:ascii="Arial" w:hAnsi="Arial" w:cs="Arial"/>
                <w:u w:val="single"/>
              </w:rPr>
              <w:t xml:space="preserve">Statutory </w:t>
            </w:r>
            <w:r w:rsidR="00E3489A" w:rsidRPr="00F81C7D">
              <w:rPr>
                <w:rFonts w:ascii="Arial" w:hAnsi="Arial" w:cs="Arial"/>
                <w:u w:val="single"/>
              </w:rPr>
              <w:t xml:space="preserve">Revenue </w:t>
            </w:r>
            <w:r w:rsidR="00241CCA" w:rsidRPr="00F81C7D">
              <w:rPr>
                <w:rFonts w:ascii="Arial" w:hAnsi="Arial" w:cs="Arial"/>
                <w:u w:val="single"/>
              </w:rPr>
              <w:t>Reserves</w:t>
            </w:r>
          </w:p>
          <w:p w14:paraId="42187D6A" w14:textId="77777777" w:rsidR="00241CCA" w:rsidRPr="00F81C7D" w:rsidRDefault="00241CCA" w:rsidP="007079E9">
            <w:pPr>
              <w:pStyle w:val="ListParagraph"/>
              <w:ind w:left="0"/>
              <w:jc w:val="both"/>
              <w:rPr>
                <w:rFonts w:ascii="Arial" w:hAnsi="Arial" w:cs="Arial"/>
              </w:rPr>
            </w:pPr>
          </w:p>
          <w:p w14:paraId="4090342F" w14:textId="77777777" w:rsidR="00F5207B" w:rsidRPr="003C0C5B" w:rsidRDefault="00F5207B" w:rsidP="007079E9">
            <w:pPr>
              <w:pStyle w:val="ListParagraph"/>
              <w:numPr>
                <w:ilvl w:val="0"/>
                <w:numId w:val="10"/>
              </w:numPr>
              <w:autoSpaceDE w:val="0"/>
              <w:autoSpaceDN w:val="0"/>
              <w:jc w:val="both"/>
              <w:rPr>
                <w:rFonts w:ascii="Arial" w:hAnsi="Arial" w:cs="Arial"/>
                <w:u w:val="single"/>
              </w:rPr>
            </w:pPr>
            <w:r w:rsidRPr="00F81C7D">
              <w:rPr>
                <w:rFonts w:ascii="Arial" w:hAnsi="Arial" w:cs="Arial"/>
                <w:u w:val="single"/>
              </w:rPr>
              <w:t xml:space="preserve">General Reserve </w:t>
            </w:r>
            <w:r w:rsidRPr="003C0C5B">
              <w:rPr>
                <w:rFonts w:ascii="Arial" w:hAnsi="Arial" w:cs="Arial"/>
                <w:u w:val="single"/>
              </w:rPr>
              <w:t>- (Line A1)</w:t>
            </w:r>
          </w:p>
          <w:p w14:paraId="772ED666" w14:textId="77777777" w:rsidR="00F5207B" w:rsidRPr="00F81C7D" w:rsidRDefault="00F5207B" w:rsidP="007079E9">
            <w:pPr>
              <w:pStyle w:val="ListParagraph"/>
              <w:ind w:left="0"/>
              <w:rPr>
                <w:rFonts w:ascii="Arial" w:hAnsi="Arial" w:cs="Arial"/>
              </w:rPr>
            </w:pPr>
          </w:p>
          <w:p w14:paraId="5AE3F366" w14:textId="71EE6319" w:rsidR="00F5207B" w:rsidRPr="00F81C7D" w:rsidRDefault="00F5207B" w:rsidP="007079E9">
            <w:pPr>
              <w:pStyle w:val="ListParagraph"/>
              <w:numPr>
                <w:ilvl w:val="0"/>
                <w:numId w:val="4"/>
              </w:numPr>
              <w:autoSpaceDE w:val="0"/>
              <w:autoSpaceDN w:val="0"/>
              <w:jc w:val="both"/>
              <w:rPr>
                <w:rFonts w:ascii="Arial" w:hAnsi="Arial" w:cs="Arial"/>
              </w:rPr>
            </w:pPr>
            <w:r w:rsidRPr="00F81C7D">
              <w:rPr>
                <w:rFonts w:ascii="Arial" w:hAnsi="Arial" w:cs="Arial"/>
              </w:rPr>
              <w:t>Purpose – This is held as working capita</w:t>
            </w:r>
            <w:r w:rsidR="00241CCA" w:rsidRPr="00F81C7D">
              <w:rPr>
                <w:rFonts w:ascii="Arial" w:hAnsi="Arial" w:cs="Arial"/>
              </w:rPr>
              <w:t>l to help cushion the impact of</w:t>
            </w:r>
            <w:r w:rsidR="00660421" w:rsidRPr="00F81C7D">
              <w:rPr>
                <w:rFonts w:ascii="Arial" w:hAnsi="Arial" w:cs="Arial"/>
              </w:rPr>
              <w:t xml:space="preserve"> </w:t>
            </w:r>
            <w:r w:rsidRPr="00F81C7D">
              <w:rPr>
                <w:rFonts w:ascii="Arial" w:hAnsi="Arial" w:cs="Arial"/>
              </w:rPr>
              <w:t xml:space="preserve">uneven cash flows and also as a contingency to mitigate the impact of unexpected events or emergencies.  </w:t>
            </w:r>
            <w:r w:rsidR="002C7170">
              <w:rPr>
                <w:rFonts w:ascii="Arial" w:hAnsi="Arial" w:cs="Arial"/>
              </w:rPr>
              <w:t>At the end of the financial year, t</w:t>
            </w:r>
            <w:r w:rsidRPr="00F81C7D">
              <w:rPr>
                <w:rFonts w:ascii="Arial" w:hAnsi="Arial" w:cs="Arial"/>
              </w:rPr>
              <w:t xml:space="preserve">he General Reserve </w:t>
            </w:r>
            <w:r w:rsidR="002C7170">
              <w:rPr>
                <w:rFonts w:ascii="Arial" w:hAnsi="Arial" w:cs="Arial"/>
              </w:rPr>
              <w:t xml:space="preserve">will </w:t>
            </w:r>
            <w:r w:rsidR="00693536" w:rsidRPr="00F81C7D">
              <w:rPr>
                <w:rFonts w:ascii="Arial" w:hAnsi="Arial" w:cs="Arial"/>
              </w:rPr>
              <w:t xml:space="preserve">amount </w:t>
            </w:r>
            <w:r w:rsidR="00693536" w:rsidRPr="009857D5">
              <w:rPr>
                <w:rFonts w:ascii="Arial" w:hAnsi="Arial" w:cs="Arial"/>
              </w:rPr>
              <w:t xml:space="preserve">to </w:t>
            </w:r>
            <w:r w:rsidR="00981E92" w:rsidRPr="009857D5">
              <w:rPr>
                <w:rFonts w:ascii="Arial" w:hAnsi="Arial" w:cs="Arial"/>
              </w:rPr>
              <w:t>£</w:t>
            </w:r>
            <w:r w:rsidR="00233AB1" w:rsidRPr="009857D5">
              <w:rPr>
                <w:rFonts w:ascii="Arial" w:hAnsi="Arial" w:cs="Arial"/>
              </w:rPr>
              <w:t>5</w:t>
            </w:r>
            <w:r w:rsidR="00981E92" w:rsidRPr="009857D5">
              <w:rPr>
                <w:rFonts w:ascii="Arial" w:hAnsi="Arial" w:cs="Arial"/>
              </w:rPr>
              <w:t>.</w:t>
            </w:r>
            <w:r w:rsidR="00C127E2">
              <w:rPr>
                <w:rFonts w:ascii="Arial" w:hAnsi="Arial" w:cs="Arial"/>
              </w:rPr>
              <w:t>5</w:t>
            </w:r>
            <w:r w:rsidR="00233AB1" w:rsidRPr="009857D5">
              <w:rPr>
                <w:rFonts w:ascii="Arial" w:hAnsi="Arial" w:cs="Arial"/>
              </w:rPr>
              <w:t>0</w:t>
            </w:r>
            <w:r w:rsidR="002C7170" w:rsidRPr="009857D5">
              <w:rPr>
                <w:rFonts w:ascii="Arial" w:hAnsi="Arial" w:cs="Arial"/>
              </w:rPr>
              <w:t>0</w:t>
            </w:r>
            <w:r w:rsidR="00981E92" w:rsidRPr="009857D5">
              <w:rPr>
                <w:rFonts w:ascii="Arial" w:hAnsi="Arial" w:cs="Arial"/>
              </w:rPr>
              <w:t>m which represents 3.</w:t>
            </w:r>
            <w:r w:rsidR="00C127E2">
              <w:rPr>
                <w:rFonts w:ascii="Arial" w:hAnsi="Arial" w:cs="Arial"/>
              </w:rPr>
              <w:t>18</w:t>
            </w:r>
            <w:r w:rsidR="00981E92" w:rsidRPr="009857D5">
              <w:rPr>
                <w:rFonts w:ascii="Arial" w:hAnsi="Arial" w:cs="Arial"/>
              </w:rPr>
              <w:t xml:space="preserve">% of </w:t>
            </w:r>
            <w:r w:rsidR="00D3173B" w:rsidRPr="009857D5">
              <w:rPr>
                <w:rFonts w:ascii="Arial" w:hAnsi="Arial" w:cs="Arial"/>
              </w:rPr>
              <w:t>202</w:t>
            </w:r>
            <w:r w:rsidR="00C127E2">
              <w:rPr>
                <w:rFonts w:ascii="Arial" w:hAnsi="Arial" w:cs="Arial"/>
              </w:rPr>
              <w:t>4</w:t>
            </w:r>
            <w:r w:rsidR="00D3173B" w:rsidRPr="009857D5">
              <w:rPr>
                <w:rFonts w:ascii="Arial" w:hAnsi="Arial" w:cs="Arial"/>
              </w:rPr>
              <w:t>/2</w:t>
            </w:r>
            <w:r w:rsidR="00C127E2">
              <w:rPr>
                <w:rFonts w:ascii="Arial" w:hAnsi="Arial" w:cs="Arial"/>
              </w:rPr>
              <w:t>5</w:t>
            </w:r>
            <w:r w:rsidR="00D3173B" w:rsidRPr="009857D5">
              <w:rPr>
                <w:rFonts w:ascii="Arial" w:hAnsi="Arial" w:cs="Arial"/>
              </w:rPr>
              <w:t xml:space="preserve"> </w:t>
            </w:r>
            <w:r w:rsidR="00981E92" w:rsidRPr="009857D5">
              <w:rPr>
                <w:rFonts w:ascii="Arial" w:hAnsi="Arial" w:cs="Arial"/>
              </w:rPr>
              <w:t>N</w:t>
            </w:r>
            <w:r w:rsidR="00693536" w:rsidRPr="009857D5">
              <w:rPr>
                <w:rFonts w:ascii="Arial" w:hAnsi="Arial" w:cs="Arial"/>
              </w:rPr>
              <w:t xml:space="preserve">et </w:t>
            </w:r>
            <w:r w:rsidR="00981E92" w:rsidRPr="009857D5">
              <w:rPr>
                <w:rFonts w:ascii="Arial" w:hAnsi="Arial" w:cs="Arial"/>
              </w:rPr>
              <w:t>R</w:t>
            </w:r>
            <w:r w:rsidR="00693536" w:rsidRPr="009857D5">
              <w:rPr>
                <w:rFonts w:ascii="Arial" w:hAnsi="Arial" w:cs="Arial"/>
              </w:rPr>
              <w:t xml:space="preserve">evenue </w:t>
            </w:r>
            <w:r w:rsidR="00981E92" w:rsidRPr="009857D5">
              <w:rPr>
                <w:rFonts w:ascii="Arial" w:hAnsi="Arial" w:cs="Arial"/>
              </w:rPr>
              <w:t>E</w:t>
            </w:r>
            <w:r w:rsidR="00693536" w:rsidRPr="009857D5">
              <w:rPr>
                <w:rFonts w:ascii="Arial" w:hAnsi="Arial" w:cs="Arial"/>
              </w:rPr>
              <w:t>xpenditure (NRE) (</w:t>
            </w:r>
            <w:r w:rsidR="00693536" w:rsidRPr="00F81C7D">
              <w:rPr>
                <w:rFonts w:ascii="Arial" w:hAnsi="Arial" w:cs="Arial"/>
              </w:rPr>
              <w:t xml:space="preserve">this </w:t>
            </w:r>
            <w:r w:rsidR="007C7002">
              <w:rPr>
                <w:rFonts w:ascii="Arial" w:hAnsi="Arial" w:cs="Arial"/>
              </w:rPr>
              <w:t xml:space="preserve">% </w:t>
            </w:r>
            <w:r w:rsidR="00693536" w:rsidRPr="00F81C7D">
              <w:rPr>
                <w:rFonts w:ascii="Arial" w:hAnsi="Arial" w:cs="Arial"/>
              </w:rPr>
              <w:t xml:space="preserve">figure has remained </w:t>
            </w:r>
            <w:r w:rsidR="00D3173B">
              <w:rPr>
                <w:rFonts w:ascii="Arial" w:hAnsi="Arial" w:cs="Arial"/>
              </w:rPr>
              <w:t xml:space="preserve">relatively </w:t>
            </w:r>
            <w:r w:rsidR="00693536" w:rsidRPr="00F81C7D">
              <w:rPr>
                <w:rFonts w:ascii="Arial" w:hAnsi="Arial" w:cs="Arial"/>
              </w:rPr>
              <w:t>static since 2015/16) and i</w:t>
            </w:r>
            <w:r w:rsidRPr="00F81C7D">
              <w:rPr>
                <w:rFonts w:ascii="Arial" w:hAnsi="Arial" w:cs="Arial"/>
              </w:rPr>
              <w:t>n the view of the CFO represents an appropriate level in terms of the overall risk-profile.</w:t>
            </w:r>
          </w:p>
          <w:p w14:paraId="75FD8311" w14:textId="77777777" w:rsidR="00F5207B" w:rsidRPr="00F81C7D" w:rsidRDefault="00F5207B" w:rsidP="007079E9">
            <w:pPr>
              <w:pStyle w:val="ListParagraph"/>
              <w:numPr>
                <w:ilvl w:val="0"/>
                <w:numId w:val="4"/>
              </w:numPr>
              <w:autoSpaceDE w:val="0"/>
              <w:autoSpaceDN w:val="0"/>
              <w:jc w:val="both"/>
              <w:rPr>
                <w:rFonts w:ascii="Arial" w:hAnsi="Arial" w:cs="Arial"/>
              </w:rPr>
            </w:pPr>
            <w:r w:rsidRPr="00F81C7D">
              <w:rPr>
                <w:rFonts w:ascii="Arial" w:hAnsi="Arial" w:cs="Arial"/>
              </w:rPr>
              <w:t>Planned Utilisation – By its very nature, th</w:t>
            </w:r>
            <w:r w:rsidR="00660421" w:rsidRPr="00F81C7D">
              <w:rPr>
                <w:rFonts w:ascii="Arial" w:hAnsi="Arial" w:cs="Arial"/>
              </w:rPr>
              <w:t>is reserve is held for unfunded</w:t>
            </w:r>
            <w:r w:rsidR="00407FB5" w:rsidRPr="00F81C7D">
              <w:rPr>
                <w:rFonts w:ascii="Arial" w:hAnsi="Arial" w:cs="Arial"/>
              </w:rPr>
              <w:t xml:space="preserve"> </w:t>
            </w:r>
            <w:r w:rsidRPr="00F81C7D">
              <w:rPr>
                <w:rFonts w:ascii="Arial" w:hAnsi="Arial" w:cs="Arial"/>
              </w:rPr>
              <w:t>and unexpected events or emergencies.  Therefore, as a statutory contingency reserve there is currently no call upon this reserve.</w:t>
            </w:r>
          </w:p>
          <w:p w14:paraId="199A1C6A" w14:textId="77777777" w:rsidR="00F5207B" w:rsidRPr="00F81C7D" w:rsidRDefault="00F5207B" w:rsidP="007079E9">
            <w:pPr>
              <w:pStyle w:val="ListParagraph"/>
              <w:autoSpaceDE w:val="0"/>
              <w:autoSpaceDN w:val="0"/>
              <w:ind w:left="0"/>
              <w:jc w:val="both"/>
              <w:rPr>
                <w:rFonts w:ascii="Arial" w:hAnsi="Arial" w:cs="Arial"/>
              </w:rPr>
            </w:pPr>
          </w:p>
          <w:p w14:paraId="4840BE16" w14:textId="77777777" w:rsidR="0059067E" w:rsidRPr="00F81C7D" w:rsidRDefault="0059067E" w:rsidP="007079E9">
            <w:pPr>
              <w:pStyle w:val="ListParagraph"/>
              <w:autoSpaceDE w:val="0"/>
              <w:autoSpaceDN w:val="0"/>
              <w:ind w:left="717"/>
              <w:jc w:val="both"/>
              <w:rPr>
                <w:rFonts w:ascii="Arial" w:hAnsi="Arial" w:cs="Arial"/>
                <w:u w:val="single"/>
              </w:rPr>
            </w:pPr>
          </w:p>
          <w:p w14:paraId="76C938F1" w14:textId="77777777" w:rsidR="00F12B58" w:rsidRPr="00F81C7D" w:rsidRDefault="00E3489A" w:rsidP="007079E9">
            <w:pPr>
              <w:pStyle w:val="ListParagraph"/>
              <w:autoSpaceDE w:val="0"/>
              <w:autoSpaceDN w:val="0"/>
              <w:ind w:left="0"/>
              <w:jc w:val="both"/>
              <w:rPr>
                <w:rFonts w:ascii="Arial" w:hAnsi="Arial" w:cs="Arial"/>
                <w:u w:val="single"/>
              </w:rPr>
            </w:pPr>
            <w:r w:rsidRPr="00F81C7D">
              <w:rPr>
                <w:rFonts w:ascii="Arial" w:hAnsi="Arial" w:cs="Arial"/>
                <w:u w:val="single"/>
              </w:rPr>
              <w:t xml:space="preserve">Revenue </w:t>
            </w:r>
            <w:r w:rsidR="00F12B58" w:rsidRPr="00F81C7D">
              <w:rPr>
                <w:rFonts w:ascii="Arial" w:hAnsi="Arial" w:cs="Arial"/>
                <w:u w:val="single"/>
              </w:rPr>
              <w:t xml:space="preserve">Committed </w:t>
            </w:r>
            <w:r w:rsidR="00A3522E" w:rsidRPr="00F81C7D">
              <w:rPr>
                <w:rFonts w:ascii="Arial" w:hAnsi="Arial" w:cs="Arial"/>
                <w:u w:val="single"/>
              </w:rPr>
              <w:t xml:space="preserve">Earmarked </w:t>
            </w:r>
            <w:r w:rsidR="00A702EB" w:rsidRPr="00F81C7D">
              <w:rPr>
                <w:rFonts w:ascii="Arial" w:hAnsi="Arial" w:cs="Arial"/>
                <w:u w:val="single"/>
              </w:rPr>
              <w:t>Funds</w:t>
            </w:r>
            <w:r w:rsidR="00DE4AB1" w:rsidRPr="00F81C7D">
              <w:rPr>
                <w:rFonts w:ascii="Arial" w:hAnsi="Arial" w:cs="Arial"/>
                <w:u w:val="single"/>
              </w:rPr>
              <w:t xml:space="preserve"> – Utilised Within the Current MTFP</w:t>
            </w:r>
          </w:p>
          <w:p w14:paraId="648E9272" w14:textId="77777777" w:rsidR="00E3489A" w:rsidRPr="00F81C7D" w:rsidRDefault="00E3489A" w:rsidP="007079E9">
            <w:pPr>
              <w:pStyle w:val="ListParagraph"/>
              <w:autoSpaceDE w:val="0"/>
              <w:autoSpaceDN w:val="0"/>
              <w:jc w:val="both"/>
              <w:rPr>
                <w:rFonts w:ascii="Arial" w:hAnsi="Arial" w:cs="Arial"/>
              </w:rPr>
            </w:pPr>
          </w:p>
          <w:p w14:paraId="4C94F967" w14:textId="0FB8F2E8" w:rsidR="00E41530" w:rsidRPr="00F81C7D" w:rsidRDefault="00E41530"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Capital Grant - (Line B</w:t>
            </w:r>
            <w:r w:rsidR="005C2486">
              <w:rPr>
                <w:rFonts w:ascii="Arial" w:hAnsi="Arial" w:cs="Arial"/>
                <w:u w:val="single"/>
              </w:rPr>
              <w:t>1</w:t>
            </w:r>
            <w:r w:rsidRPr="00F81C7D">
              <w:rPr>
                <w:rFonts w:ascii="Arial" w:hAnsi="Arial" w:cs="Arial"/>
                <w:u w:val="single"/>
              </w:rPr>
              <w:t>a)</w:t>
            </w:r>
          </w:p>
          <w:p w14:paraId="0A30C408" w14:textId="77777777" w:rsidR="00E41530" w:rsidRPr="00F81C7D" w:rsidRDefault="00E41530" w:rsidP="007079E9">
            <w:pPr>
              <w:pStyle w:val="ListParagraph"/>
              <w:ind w:left="0"/>
              <w:rPr>
                <w:rFonts w:ascii="Arial" w:hAnsi="Arial" w:cs="Arial"/>
              </w:rPr>
            </w:pPr>
          </w:p>
          <w:p w14:paraId="0BDD11B2" w14:textId="24D969EB" w:rsidR="00851059" w:rsidRDefault="00E41530" w:rsidP="007079E9">
            <w:pPr>
              <w:pStyle w:val="ListParagraph"/>
              <w:numPr>
                <w:ilvl w:val="0"/>
                <w:numId w:val="13"/>
              </w:numPr>
              <w:autoSpaceDE w:val="0"/>
              <w:autoSpaceDN w:val="0"/>
              <w:jc w:val="both"/>
              <w:rPr>
                <w:rFonts w:ascii="Arial" w:hAnsi="Arial" w:cs="Arial"/>
              </w:rPr>
            </w:pPr>
            <w:r w:rsidRPr="00F81C7D">
              <w:rPr>
                <w:rFonts w:ascii="Arial" w:hAnsi="Arial" w:cs="Arial"/>
              </w:rPr>
              <w:t xml:space="preserve">Purpose – This line simply represents the movement of the </w:t>
            </w:r>
            <w:r w:rsidR="00851059" w:rsidRPr="00F81C7D">
              <w:rPr>
                <w:rFonts w:ascii="Arial" w:hAnsi="Arial" w:cs="Arial"/>
              </w:rPr>
              <w:t>C</w:t>
            </w:r>
            <w:r w:rsidRPr="00F81C7D">
              <w:rPr>
                <w:rFonts w:ascii="Arial" w:hAnsi="Arial" w:cs="Arial"/>
              </w:rPr>
              <w:t>a</w:t>
            </w:r>
            <w:r w:rsidR="00851059" w:rsidRPr="00F81C7D">
              <w:rPr>
                <w:rFonts w:ascii="Arial" w:hAnsi="Arial" w:cs="Arial"/>
              </w:rPr>
              <w:t>p</w:t>
            </w:r>
            <w:r w:rsidRPr="00F81C7D">
              <w:rPr>
                <w:rFonts w:ascii="Arial" w:hAnsi="Arial" w:cs="Arial"/>
              </w:rPr>
              <w:t>ital Grant received from the Home Office</w:t>
            </w:r>
            <w:r w:rsidR="00851059" w:rsidRPr="00F81C7D">
              <w:rPr>
                <w:rFonts w:ascii="Arial" w:hAnsi="Arial" w:cs="Arial"/>
              </w:rPr>
              <w:t>,</w:t>
            </w:r>
            <w:r w:rsidRPr="00F81C7D">
              <w:rPr>
                <w:rFonts w:ascii="Arial" w:hAnsi="Arial" w:cs="Arial"/>
              </w:rPr>
              <w:t xml:space="preserve"> from the Capital </w:t>
            </w:r>
            <w:r w:rsidR="00C80DE9" w:rsidRPr="00F81C7D">
              <w:rPr>
                <w:rFonts w:ascii="Arial" w:hAnsi="Arial" w:cs="Arial"/>
              </w:rPr>
              <w:t>Grant</w:t>
            </w:r>
            <w:r w:rsidRPr="00F81C7D">
              <w:rPr>
                <w:rFonts w:ascii="Arial" w:hAnsi="Arial" w:cs="Arial"/>
              </w:rPr>
              <w:t xml:space="preserve"> line </w:t>
            </w:r>
            <w:r w:rsidR="00E10285" w:rsidRPr="00F81C7D">
              <w:rPr>
                <w:rFonts w:ascii="Arial" w:hAnsi="Arial" w:cs="Arial"/>
              </w:rPr>
              <w:t>A</w:t>
            </w:r>
            <w:r w:rsidRPr="00F81C7D">
              <w:rPr>
                <w:rFonts w:ascii="Arial" w:hAnsi="Arial" w:cs="Arial"/>
              </w:rPr>
              <w:t>1 within the C</w:t>
            </w:r>
            <w:r w:rsidR="00851059" w:rsidRPr="00F81C7D">
              <w:rPr>
                <w:rFonts w:ascii="Arial" w:hAnsi="Arial" w:cs="Arial"/>
              </w:rPr>
              <w:t>a</w:t>
            </w:r>
            <w:r w:rsidR="00436AAC" w:rsidRPr="00F81C7D">
              <w:rPr>
                <w:rFonts w:ascii="Arial" w:hAnsi="Arial" w:cs="Arial"/>
              </w:rPr>
              <w:t xml:space="preserve">pital </w:t>
            </w:r>
            <w:r w:rsidR="005C2486">
              <w:rPr>
                <w:rFonts w:ascii="Arial" w:hAnsi="Arial" w:cs="Arial"/>
              </w:rPr>
              <w:t xml:space="preserve">Reserves and </w:t>
            </w:r>
            <w:r w:rsidR="00C31969" w:rsidRPr="00F81C7D">
              <w:rPr>
                <w:rFonts w:ascii="Arial" w:hAnsi="Arial" w:cs="Arial"/>
              </w:rPr>
              <w:t>Committed Funds</w:t>
            </w:r>
            <w:r w:rsidRPr="00F81C7D">
              <w:rPr>
                <w:rFonts w:ascii="Arial" w:hAnsi="Arial" w:cs="Arial"/>
              </w:rPr>
              <w:t xml:space="preserve"> section of Appendix </w:t>
            </w:r>
            <w:r w:rsidR="006855A3" w:rsidRPr="00F81C7D">
              <w:rPr>
                <w:rFonts w:ascii="Arial" w:hAnsi="Arial" w:cs="Arial"/>
              </w:rPr>
              <w:t>2</w:t>
            </w:r>
            <w:r w:rsidR="00956F91">
              <w:rPr>
                <w:rFonts w:ascii="Arial" w:hAnsi="Arial" w:cs="Arial"/>
              </w:rPr>
              <w:t>,</w:t>
            </w:r>
            <w:r w:rsidR="00851059" w:rsidRPr="00F81C7D">
              <w:rPr>
                <w:rFonts w:ascii="Arial" w:hAnsi="Arial" w:cs="Arial"/>
              </w:rPr>
              <w:t xml:space="preserve"> </w:t>
            </w:r>
            <w:r w:rsidRPr="00F81C7D">
              <w:rPr>
                <w:rFonts w:ascii="Arial" w:hAnsi="Arial" w:cs="Arial"/>
              </w:rPr>
              <w:t xml:space="preserve">into </w:t>
            </w:r>
            <w:r w:rsidR="00851059" w:rsidRPr="00F81C7D">
              <w:rPr>
                <w:rFonts w:ascii="Arial" w:hAnsi="Arial" w:cs="Arial"/>
              </w:rPr>
              <w:t xml:space="preserve">the Revenue Reserves </w:t>
            </w:r>
            <w:r w:rsidR="00C31969" w:rsidRPr="00F81C7D">
              <w:rPr>
                <w:rFonts w:ascii="Arial" w:hAnsi="Arial" w:cs="Arial"/>
              </w:rPr>
              <w:t xml:space="preserve">and Committed Funds </w:t>
            </w:r>
            <w:r w:rsidR="00851059" w:rsidRPr="00F81C7D">
              <w:rPr>
                <w:rFonts w:ascii="Arial" w:hAnsi="Arial" w:cs="Arial"/>
              </w:rPr>
              <w:t>section.</w:t>
            </w:r>
            <w:r w:rsidR="00D3173B">
              <w:rPr>
                <w:rFonts w:ascii="Arial" w:hAnsi="Arial" w:cs="Arial"/>
              </w:rPr>
              <w:t xml:space="preserve">  It should be noted that this balance is </w:t>
            </w:r>
            <w:r w:rsidR="00B378C9">
              <w:rPr>
                <w:rFonts w:ascii="Arial" w:hAnsi="Arial" w:cs="Arial"/>
              </w:rPr>
              <w:t>sporadic</w:t>
            </w:r>
            <w:r w:rsidR="00D3173B">
              <w:rPr>
                <w:rFonts w:ascii="Arial" w:hAnsi="Arial" w:cs="Arial"/>
              </w:rPr>
              <w:t xml:space="preserve"> in nature, as the Home Office </w:t>
            </w:r>
            <w:r w:rsidR="00D3173B">
              <w:rPr>
                <w:rFonts w:ascii="Arial" w:hAnsi="Arial" w:cs="Arial"/>
              </w:rPr>
              <w:lastRenderedPageBreak/>
              <w:t xml:space="preserve">ceased </w:t>
            </w:r>
            <w:r w:rsidR="00B378C9">
              <w:rPr>
                <w:rFonts w:ascii="Arial" w:hAnsi="Arial" w:cs="Arial"/>
              </w:rPr>
              <w:t xml:space="preserve">recurrent </w:t>
            </w:r>
            <w:r w:rsidR="00D3173B">
              <w:rPr>
                <w:rFonts w:ascii="Arial" w:hAnsi="Arial" w:cs="Arial"/>
              </w:rPr>
              <w:t xml:space="preserve">Capital Grant to Police and Crime Commissioners from the 2022/23 </w:t>
            </w:r>
            <w:r w:rsidR="00C14FF4">
              <w:rPr>
                <w:rFonts w:ascii="Arial" w:hAnsi="Arial" w:cs="Arial"/>
              </w:rPr>
              <w:t>financial year.</w:t>
            </w:r>
            <w:r w:rsidR="00B378C9">
              <w:rPr>
                <w:rFonts w:ascii="Arial" w:hAnsi="Arial" w:cs="Arial"/>
              </w:rPr>
              <w:t xml:space="preserve">  This line therefore reflects ‘one-off’ items of Capital Grant for specific programmes or projects of work.</w:t>
            </w:r>
          </w:p>
          <w:p w14:paraId="4567A4BC" w14:textId="77777777" w:rsidR="00EC5441" w:rsidRPr="00F81C7D" w:rsidRDefault="00EC5441" w:rsidP="00EC5441">
            <w:pPr>
              <w:pStyle w:val="ListParagraph"/>
              <w:autoSpaceDE w:val="0"/>
              <w:autoSpaceDN w:val="0"/>
              <w:jc w:val="both"/>
              <w:rPr>
                <w:rFonts w:ascii="Arial" w:hAnsi="Arial" w:cs="Arial"/>
              </w:rPr>
            </w:pPr>
          </w:p>
          <w:p w14:paraId="3AFC8247" w14:textId="7CA02A39" w:rsidR="00851059" w:rsidRPr="00F81C7D" w:rsidRDefault="00E41530" w:rsidP="007079E9">
            <w:pPr>
              <w:pStyle w:val="ListParagraph"/>
              <w:numPr>
                <w:ilvl w:val="0"/>
                <w:numId w:val="13"/>
              </w:numPr>
              <w:autoSpaceDE w:val="0"/>
              <w:autoSpaceDN w:val="0"/>
              <w:jc w:val="both"/>
              <w:rPr>
                <w:rFonts w:ascii="Arial" w:hAnsi="Arial" w:cs="Arial"/>
              </w:rPr>
            </w:pPr>
            <w:r w:rsidRPr="00F81C7D">
              <w:rPr>
                <w:rFonts w:ascii="Arial" w:hAnsi="Arial" w:cs="Arial"/>
              </w:rPr>
              <w:t xml:space="preserve">Planned Utilisation – This </w:t>
            </w:r>
            <w:r w:rsidR="00C80DE9" w:rsidRPr="00F81C7D">
              <w:rPr>
                <w:rFonts w:ascii="Arial" w:hAnsi="Arial" w:cs="Arial"/>
              </w:rPr>
              <w:t>committed fund</w:t>
            </w:r>
            <w:r w:rsidRPr="00F81C7D">
              <w:rPr>
                <w:rFonts w:ascii="Arial" w:hAnsi="Arial" w:cs="Arial"/>
              </w:rPr>
              <w:t xml:space="preserve"> </w:t>
            </w:r>
            <w:r w:rsidR="00B378C9">
              <w:rPr>
                <w:rFonts w:ascii="Arial" w:hAnsi="Arial" w:cs="Arial"/>
              </w:rPr>
              <w:t xml:space="preserve">will </w:t>
            </w:r>
            <w:r w:rsidR="00851059" w:rsidRPr="00F81C7D">
              <w:rPr>
                <w:rFonts w:ascii="Arial" w:hAnsi="Arial" w:cs="Arial"/>
              </w:rPr>
              <w:t xml:space="preserve">be used to </w:t>
            </w:r>
            <w:r w:rsidR="008B233C" w:rsidRPr="00F81C7D">
              <w:rPr>
                <w:rFonts w:ascii="Arial" w:hAnsi="Arial" w:cs="Arial"/>
              </w:rPr>
              <w:t>fund</w:t>
            </w:r>
            <w:r w:rsidR="00851059" w:rsidRPr="00F81C7D">
              <w:rPr>
                <w:rFonts w:ascii="Arial" w:hAnsi="Arial" w:cs="Arial"/>
              </w:rPr>
              <w:t xml:space="preserve"> the requirements of the </w:t>
            </w:r>
            <w:r w:rsidR="00B378C9">
              <w:rPr>
                <w:rFonts w:ascii="Arial" w:hAnsi="Arial" w:cs="Arial"/>
              </w:rPr>
              <w:t>specific programmes or projects which attracted the funding</w:t>
            </w:r>
            <w:r w:rsidR="00851059" w:rsidRPr="00F81C7D">
              <w:rPr>
                <w:rFonts w:ascii="Arial" w:hAnsi="Arial" w:cs="Arial"/>
              </w:rPr>
              <w:t>.</w:t>
            </w:r>
          </w:p>
          <w:p w14:paraId="041EA282" w14:textId="77777777" w:rsidR="00851059" w:rsidRPr="00F81C7D" w:rsidRDefault="00851059" w:rsidP="007079E9">
            <w:pPr>
              <w:pStyle w:val="ListParagraph"/>
              <w:autoSpaceDE w:val="0"/>
              <w:autoSpaceDN w:val="0"/>
              <w:ind w:left="363"/>
              <w:jc w:val="both"/>
              <w:rPr>
                <w:rFonts w:ascii="Arial" w:hAnsi="Arial" w:cs="Arial"/>
              </w:rPr>
            </w:pPr>
          </w:p>
          <w:p w14:paraId="264CF7FF" w14:textId="7AFA49BB" w:rsidR="00851059" w:rsidRPr="00F81C7D" w:rsidRDefault="00851059"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Capital Rece</w:t>
            </w:r>
            <w:r w:rsidR="00B848C1" w:rsidRPr="00F81C7D">
              <w:rPr>
                <w:rFonts w:ascii="Arial" w:hAnsi="Arial" w:cs="Arial"/>
                <w:u w:val="single"/>
              </w:rPr>
              <w:t>i</w:t>
            </w:r>
            <w:r w:rsidRPr="00F81C7D">
              <w:rPr>
                <w:rFonts w:ascii="Arial" w:hAnsi="Arial" w:cs="Arial"/>
                <w:u w:val="single"/>
              </w:rPr>
              <w:t>pts - (Line B</w:t>
            </w:r>
            <w:r w:rsidR="005C2486">
              <w:rPr>
                <w:rFonts w:ascii="Arial" w:hAnsi="Arial" w:cs="Arial"/>
                <w:u w:val="single"/>
              </w:rPr>
              <w:t>1</w:t>
            </w:r>
            <w:r w:rsidRPr="00F81C7D">
              <w:rPr>
                <w:rFonts w:ascii="Arial" w:hAnsi="Arial" w:cs="Arial"/>
                <w:u w:val="single"/>
              </w:rPr>
              <w:t>b)</w:t>
            </w:r>
          </w:p>
          <w:p w14:paraId="71D2AFE6" w14:textId="77777777" w:rsidR="00851059" w:rsidRPr="00F81C7D" w:rsidRDefault="00851059" w:rsidP="007079E9">
            <w:pPr>
              <w:pStyle w:val="ListParagraph"/>
              <w:ind w:left="0"/>
              <w:rPr>
                <w:rFonts w:ascii="Arial" w:hAnsi="Arial" w:cs="Arial"/>
              </w:rPr>
            </w:pPr>
          </w:p>
          <w:p w14:paraId="3AB30896" w14:textId="1CCB74A7" w:rsidR="00851059" w:rsidRPr="00F81C7D" w:rsidRDefault="00851059" w:rsidP="007079E9">
            <w:pPr>
              <w:pStyle w:val="ListParagraph"/>
              <w:numPr>
                <w:ilvl w:val="0"/>
                <w:numId w:val="14"/>
              </w:numPr>
              <w:autoSpaceDE w:val="0"/>
              <w:autoSpaceDN w:val="0"/>
              <w:jc w:val="both"/>
              <w:rPr>
                <w:rFonts w:ascii="Arial" w:hAnsi="Arial" w:cs="Arial"/>
              </w:rPr>
            </w:pPr>
            <w:r w:rsidRPr="00F81C7D">
              <w:rPr>
                <w:rFonts w:ascii="Arial" w:hAnsi="Arial" w:cs="Arial"/>
              </w:rPr>
              <w:t>Purpose – This line simply represents the movement of Capital Receipts received from the sale of estate premises</w:t>
            </w:r>
            <w:r w:rsidR="00E10285" w:rsidRPr="00F81C7D">
              <w:rPr>
                <w:rFonts w:ascii="Arial" w:hAnsi="Arial" w:cs="Arial"/>
              </w:rPr>
              <w:t xml:space="preserve"> from the Capital Receipts line A2</w:t>
            </w:r>
            <w:r w:rsidRPr="00F81C7D">
              <w:rPr>
                <w:rFonts w:ascii="Arial" w:hAnsi="Arial" w:cs="Arial"/>
              </w:rPr>
              <w:t xml:space="preserve"> within the Capital </w:t>
            </w:r>
            <w:r w:rsidR="005C2486">
              <w:rPr>
                <w:rFonts w:ascii="Arial" w:hAnsi="Arial" w:cs="Arial"/>
              </w:rPr>
              <w:t xml:space="preserve">Reserves and </w:t>
            </w:r>
            <w:r w:rsidR="00C31969" w:rsidRPr="00F81C7D">
              <w:rPr>
                <w:rFonts w:ascii="Arial" w:hAnsi="Arial" w:cs="Arial"/>
              </w:rPr>
              <w:t xml:space="preserve">Committed Funds </w:t>
            </w:r>
            <w:r w:rsidRPr="00F81C7D">
              <w:rPr>
                <w:rFonts w:ascii="Arial" w:hAnsi="Arial" w:cs="Arial"/>
              </w:rPr>
              <w:t xml:space="preserve">section of Appendix </w:t>
            </w:r>
            <w:r w:rsidR="006855A3" w:rsidRPr="00F81C7D">
              <w:rPr>
                <w:rFonts w:ascii="Arial" w:hAnsi="Arial" w:cs="Arial"/>
              </w:rPr>
              <w:t>2</w:t>
            </w:r>
            <w:r w:rsidR="00956F91">
              <w:rPr>
                <w:rFonts w:ascii="Arial" w:hAnsi="Arial" w:cs="Arial"/>
              </w:rPr>
              <w:t>,</w:t>
            </w:r>
            <w:r w:rsidRPr="00F81C7D">
              <w:rPr>
                <w:rFonts w:ascii="Arial" w:hAnsi="Arial" w:cs="Arial"/>
              </w:rPr>
              <w:t xml:space="preserve"> into the Revenue Reserves </w:t>
            </w:r>
            <w:r w:rsidR="00C31969" w:rsidRPr="00F81C7D">
              <w:rPr>
                <w:rFonts w:ascii="Arial" w:hAnsi="Arial" w:cs="Arial"/>
              </w:rPr>
              <w:t xml:space="preserve">and Committed Funds </w:t>
            </w:r>
            <w:r w:rsidRPr="00F81C7D">
              <w:rPr>
                <w:rFonts w:ascii="Arial" w:hAnsi="Arial" w:cs="Arial"/>
              </w:rPr>
              <w:t>section.</w:t>
            </w:r>
          </w:p>
          <w:p w14:paraId="015D2A0E" w14:textId="180DD5DE" w:rsidR="00851059" w:rsidRPr="00F81C7D" w:rsidRDefault="00851059" w:rsidP="007079E9">
            <w:pPr>
              <w:pStyle w:val="ListParagraph"/>
              <w:numPr>
                <w:ilvl w:val="0"/>
                <w:numId w:val="14"/>
              </w:numPr>
              <w:autoSpaceDE w:val="0"/>
              <w:autoSpaceDN w:val="0"/>
              <w:jc w:val="both"/>
              <w:rPr>
                <w:rFonts w:ascii="Arial" w:hAnsi="Arial" w:cs="Arial"/>
              </w:rPr>
            </w:pPr>
            <w:r w:rsidRPr="00F81C7D">
              <w:rPr>
                <w:rFonts w:ascii="Arial" w:hAnsi="Arial" w:cs="Arial"/>
              </w:rPr>
              <w:t xml:space="preserve">Planned Utilisation – This </w:t>
            </w:r>
            <w:r w:rsidR="00C80DE9" w:rsidRPr="00F81C7D">
              <w:rPr>
                <w:rFonts w:ascii="Arial" w:hAnsi="Arial" w:cs="Arial"/>
              </w:rPr>
              <w:t xml:space="preserve">committed </w:t>
            </w:r>
            <w:r w:rsidR="00C14FF4">
              <w:rPr>
                <w:rFonts w:ascii="Arial" w:hAnsi="Arial" w:cs="Arial"/>
              </w:rPr>
              <w:t>has and</w:t>
            </w:r>
            <w:r w:rsidRPr="00F81C7D">
              <w:rPr>
                <w:rFonts w:ascii="Arial" w:hAnsi="Arial" w:cs="Arial"/>
              </w:rPr>
              <w:t xml:space="preserve"> will be used to </w:t>
            </w:r>
            <w:r w:rsidR="008B233C" w:rsidRPr="00F81C7D">
              <w:rPr>
                <w:rFonts w:ascii="Arial" w:hAnsi="Arial" w:cs="Arial"/>
              </w:rPr>
              <w:t>fund</w:t>
            </w:r>
            <w:r w:rsidRPr="00F81C7D">
              <w:rPr>
                <w:rFonts w:ascii="Arial" w:hAnsi="Arial" w:cs="Arial"/>
              </w:rPr>
              <w:t xml:space="preserve"> the requirements of the overall Capital Programme.</w:t>
            </w:r>
          </w:p>
          <w:p w14:paraId="6E22FA1B" w14:textId="77777777" w:rsidR="00D1219A" w:rsidRPr="00F81C7D" w:rsidRDefault="00D1219A" w:rsidP="007079E9">
            <w:pPr>
              <w:pStyle w:val="ListParagraph"/>
              <w:autoSpaceDE w:val="0"/>
              <w:autoSpaceDN w:val="0"/>
              <w:ind w:left="360"/>
              <w:jc w:val="both"/>
              <w:rPr>
                <w:rFonts w:ascii="Arial" w:hAnsi="Arial" w:cs="Arial"/>
                <w:u w:val="single"/>
              </w:rPr>
            </w:pPr>
          </w:p>
          <w:p w14:paraId="4EE1BF4A" w14:textId="6335C983" w:rsidR="00C31969" w:rsidRPr="00F81C7D" w:rsidRDefault="00C31969"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Revenue Contribution to Capital</w:t>
            </w:r>
            <w:r w:rsidR="008B233C" w:rsidRPr="00F81C7D">
              <w:rPr>
                <w:rFonts w:ascii="Arial" w:hAnsi="Arial" w:cs="Arial"/>
                <w:u w:val="single"/>
              </w:rPr>
              <w:t xml:space="preserve"> </w:t>
            </w:r>
            <w:r w:rsidR="004D285E" w:rsidRPr="00F81C7D">
              <w:rPr>
                <w:rFonts w:ascii="Arial" w:hAnsi="Arial" w:cs="Arial"/>
                <w:u w:val="single"/>
              </w:rPr>
              <w:t xml:space="preserve">Programme </w:t>
            </w:r>
            <w:r w:rsidR="008B233C" w:rsidRPr="00F81C7D">
              <w:rPr>
                <w:rFonts w:ascii="Arial" w:hAnsi="Arial" w:cs="Arial"/>
                <w:u w:val="single"/>
              </w:rPr>
              <w:t>– (Line B</w:t>
            </w:r>
            <w:r w:rsidR="005C2486">
              <w:rPr>
                <w:rFonts w:ascii="Arial" w:hAnsi="Arial" w:cs="Arial"/>
                <w:u w:val="single"/>
              </w:rPr>
              <w:t>1</w:t>
            </w:r>
            <w:r w:rsidR="008B233C" w:rsidRPr="00F81C7D">
              <w:rPr>
                <w:rFonts w:ascii="Arial" w:hAnsi="Arial" w:cs="Arial"/>
                <w:u w:val="single"/>
              </w:rPr>
              <w:t>c)</w:t>
            </w:r>
          </w:p>
          <w:p w14:paraId="45746B66" w14:textId="77777777" w:rsidR="00052501" w:rsidRPr="00F81C7D" w:rsidRDefault="00052501" w:rsidP="007079E9">
            <w:pPr>
              <w:pStyle w:val="ListParagraph"/>
              <w:autoSpaceDE w:val="0"/>
              <w:autoSpaceDN w:val="0"/>
              <w:jc w:val="both"/>
              <w:rPr>
                <w:rFonts w:ascii="Arial" w:hAnsi="Arial" w:cs="Arial"/>
              </w:rPr>
            </w:pPr>
          </w:p>
          <w:p w14:paraId="1E490904" w14:textId="21472D71" w:rsidR="00C31969" w:rsidRPr="00F81C7D" w:rsidRDefault="00C31969" w:rsidP="007079E9">
            <w:pPr>
              <w:pStyle w:val="ListParagraph"/>
              <w:numPr>
                <w:ilvl w:val="0"/>
                <w:numId w:val="15"/>
              </w:numPr>
              <w:autoSpaceDE w:val="0"/>
              <w:autoSpaceDN w:val="0"/>
              <w:jc w:val="both"/>
              <w:rPr>
                <w:rFonts w:ascii="Arial" w:hAnsi="Arial" w:cs="Arial"/>
              </w:rPr>
            </w:pPr>
            <w:r w:rsidRPr="00F81C7D">
              <w:rPr>
                <w:rFonts w:ascii="Arial" w:hAnsi="Arial" w:cs="Arial"/>
              </w:rPr>
              <w:t xml:space="preserve">Purpose – Members may recall from previous MTFP presentations, that the Commissioner’s </w:t>
            </w:r>
            <w:r w:rsidR="00306977">
              <w:rPr>
                <w:rFonts w:ascii="Arial" w:hAnsi="Arial" w:cs="Arial"/>
              </w:rPr>
              <w:t>C</w:t>
            </w:r>
            <w:r w:rsidRPr="00F81C7D">
              <w:rPr>
                <w:rFonts w:ascii="Arial" w:hAnsi="Arial" w:cs="Arial"/>
              </w:rPr>
              <w:t xml:space="preserve">apital </w:t>
            </w:r>
            <w:r w:rsidR="00306977">
              <w:rPr>
                <w:rFonts w:ascii="Arial" w:hAnsi="Arial" w:cs="Arial"/>
              </w:rPr>
              <w:t>P</w:t>
            </w:r>
            <w:r w:rsidRPr="00F81C7D">
              <w:rPr>
                <w:rFonts w:ascii="Arial" w:hAnsi="Arial" w:cs="Arial"/>
              </w:rPr>
              <w:t>rogramme is funded by 5 means:</w:t>
            </w:r>
          </w:p>
          <w:p w14:paraId="72EB9393"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 xml:space="preserve">Use of </w:t>
            </w:r>
            <w:r w:rsidR="00E63545" w:rsidRPr="00F81C7D">
              <w:rPr>
                <w:rFonts w:ascii="Arial" w:hAnsi="Arial" w:cs="Arial"/>
              </w:rPr>
              <w:t>r</w:t>
            </w:r>
            <w:r w:rsidRPr="00F81C7D">
              <w:rPr>
                <w:rFonts w:ascii="Arial" w:hAnsi="Arial" w:cs="Arial"/>
              </w:rPr>
              <w:t>eserves</w:t>
            </w:r>
            <w:r w:rsidR="00E63545" w:rsidRPr="00F81C7D">
              <w:rPr>
                <w:rFonts w:ascii="Arial" w:hAnsi="Arial" w:cs="Arial"/>
              </w:rPr>
              <w:t xml:space="preserve"> and committed funds</w:t>
            </w:r>
            <w:r w:rsidRPr="00F81C7D">
              <w:rPr>
                <w:rFonts w:ascii="Arial" w:hAnsi="Arial" w:cs="Arial"/>
              </w:rPr>
              <w:t>;</w:t>
            </w:r>
          </w:p>
          <w:p w14:paraId="52896649"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Capital Grant (from the Home Office);</w:t>
            </w:r>
          </w:p>
          <w:p w14:paraId="7C25F055"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Capital receipts (from the sale of capital assets);</w:t>
            </w:r>
          </w:p>
          <w:p w14:paraId="5681E9B5" w14:textId="77777777" w:rsidR="00B42A2F"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Revenue Contribution to Capital; and</w:t>
            </w:r>
          </w:p>
          <w:p w14:paraId="50EFB645" w14:textId="77777777" w:rsidR="00C31969" w:rsidRPr="00F81C7D" w:rsidRDefault="00C31969" w:rsidP="007079E9">
            <w:pPr>
              <w:pStyle w:val="ListParagraph"/>
              <w:numPr>
                <w:ilvl w:val="1"/>
                <w:numId w:val="15"/>
              </w:numPr>
              <w:autoSpaceDE w:val="0"/>
              <w:autoSpaceDN w:val="0"/>
              <w:jc w:val="both"/>
              <w:rPr>
                <w:rFonts w:ascii="Arial" w:hAnsi="Arial" w:cs="Arial"/>
              </w:rPr>
            </w:pPr>
            <w:r w:rsidRPr="00F81C7D">
              <w:rPr>
                <w:rFonts w:ascii="Arial" w:hAnsi="Arial" w:cs="Arial"/>
              </w:rPr>
              <w:t>Borrowing.</w:t>
            </w:r>
          </w:p>
          <w:p w14:paraId="28F41FFF" w14:textId="50958606" w:rsidR="009F46C3" w:rsidRPr="00F81C7D" w:rsidRDefault="00C31969" w:rsidP="009F46C3">
            <w:pPr>
              <w:pStyle w:val="ListParagraph"/>
              <w:autoSpaceDE w:val="0"/>
              <w:autoSpaceDN w:val="0"/>
              <w:jc w:val="both"/>
              <w:rPr>
                <w:rFonts w:ascii="Arial" w:hAnsi="Arial" w:cs="Arial"/>
              </w:rPr>
            </w:pPr>
            <w:r w:rsidRPr="00F81C7D">
              <w:rPr>
                <w:rFonts w:ascii="Arial" w:hAnsi="Arial" w:cs="Arial"/>
              </w:rPr>
              <w:t xml:space="preserve">The above list is constructed in order of </w:t>
            </w:r>
            <w:r w:rsidR="00C32D96" w:rsidRPr="009F46C3">
              <w:rPr>
                <w:rFonts w:ascii="Arial" w:hAnsi="Arial" w:cs="Arial"/>
                <w:u w:val="single"/>
              </w:rPr>
              <w:t xml:space="preserve">historic </w:t>
            </w:r>
            <w:r w:rsidRPr="00F81C7D">
              <w:rPr>
                <w:rFonts w:ascii="Arial" w:hAnsi="Arial" w:cs="Arial"/>
              </w:rPr>
              <w:t>financial contribution, i.e. the use of reserves</w:t>
            </w:r>
            <w:r w:rsidR="00E63545" w:rsidRPr="00F81C7D">
              <w:rPr>
                <w:rFonts w:ascii="Arial" w:hAnsi="Arial" w:cs="Arial"/>
              </w:rPr>
              <w:t xml:space="preserve"> and committed funds </w:t>
            </w:r>
            <w:r w:rsidR="009F46C3">
              <w:rPr>
                <w:rFonts w:ascii="Arial" w:hAnsi="Arial" w:cs="Arial"/>
              </w:rPr>
              <w:t>wa</w:t>
            </w:r>
            <w:r w:rsidRPr="00F81C7D">
              <w:rPr>
                <w:rFonts w:ascii="Arial" w:hAnsi="Arial" w:cs="Arial"/>
              </w:rPr>
              <w:t xml:space="preserve">s by far the most significant contributor to the </w:t>
            </w:r>
            <w:r w:rsidR="00236675">
              <w:rPr>
                <w:rFonts w:ascii="Arial" w:hAnsi="Arial" w:cs="Arial"/>
              </w:rPr>
              <w:t>C</w:t>
            </w:r>
            <w:r w:rsidRPr="00F81C7D">
              <w:rPr>
                <w:rFonts w:ascii="Arial" w:hAnsi="Arial" w:cs="Arial"/>
              </w:rPr>
              <w:t xml:space="preserve">apital </w:t>
            </w:r>
            <w:r w:rsidR="00236675">
              <w:rPr>
                <w:rFonts w:ascii="Arial" w:hAnsi="Arial" w:cs="Arial"/>
              </w:rPr>
              <w:t>P</w:t>
            </w:r>
            <w:r w:rsidRPr="00F81C7D">
              <w:rPr>
                <w:rFonts w:ascii="Arial" w:hAnsi="Arial" w:cs="Arial"/>
              </w:rPr>
              <w:t xml:space="preserve">rogramme </w:t>
            </w:r>
            <w:r w:rsidR="009F46C3">
              <w:rPr>
                <w:rFonts w:ascii="Arial" w:hAnsi="Arial" w:cs="Arial"/>
              </w:rPr>
              <w:t>in previous years</w:t>
            </w:r>
            <w:r w:rsidRPr="00F81C7D">
              <w:rPr>
                <w:rFonts w:ascii="Arial" w:hAnsi="Arial" w:cs="Arial"/>
              </w:rPr>
              <w:t xml:space="preserve">.  By way of emphasis, the second largest </w:t>
            </w:r>
            <w:r w:rsidR="00C32D96" w:rsidRPr="00F81C7D">
              <w:rPr>
                <w:rFonts w:ascii="Arial" w:hAnsi="Arial" w:cs="Arial"/>
              </w:rPr>
              <w:t xml:space="preserve">historic </w:t>
            </w:r>
            <w:r w:rsidRPr="00F81C7D">
              <w:rPr>
                <w:rFonts w:ascii="Arial" w:hAnsi="Arial" w:cs="Arial"/>
              </w:rPr>
              <w:t xml:space="preserve">contributor (capital grant) </w:t>
            </w:r>
            <w:r w:rsidR="009A4DE1">
              <w:rPr>
                <w:rFonts w:ascii="Arial" w:hAnsi="Arial" w:cs="Arial"/>
              </w:rPr>
              <w:t>has now ceased in entirety</w:t>
            </w:r>
            <w:r w:rsidR="009F46C3">
              <w:rPr>
                <w:rFonts w:ascii="Arial" w:hAnsi="Arial" w:cs="Arial"/>
              </w:rPr>
              <w:t xml:space="preserve"> from a recurrent perspective</w:t>
            </w:r>
            <w:r w:rsidR="00891D20" w:rsidRPr="00F81C7D">
              <w:rPr>
                <w:rFonts w:ascii="Arial" w:hAnsi="Arial" w:cs="Arial"/>
              </w:rPr>
              <w:t>.  Furthermore</w:t>
            </w:r>
            <w:r w:rsidR="00E63545" w:rsidRPr="00F81C7D">
              <w:rPr>
                <w:rFonts w:ascii="Arial" w:hAnsi="Arial" w:cs="Arial"/>
              </w:rPr>
              <w:t>,</w:t>
            </w:r>
            <w:r w:rsidR="00891D20" w:rsidRPr="00F81C7D">
              <w:rPr>
                <w:rFonts w:ascii="Arial" w:hAnsi="Arial" w:cs="Arial"/>
              </w:rPr>
              <w:t xml:space="preserve"> turning to the next source on the list, </w:t>
            </w:r>
            <w:r w:rsidR="00C079E9" w:rsidRPr="00F81C7D">
              <w:rPr>
                <w:rFonts w:ascii="Arial" w:hAnsi="Arial" w:cs="Arial"/>
              </w:rPr>
              <w:t>the avai</w:t>
            </w:r>
            <w:r w:rsidR="00E63545" w:rsidRPr="00F81C7D">
              <w:rPr>
                <w:rFonts w:ascii="Arial" w:hAnsi="Arial" w:cs="Arial"/>
              </w:rPr>
              <w:t xml:space="preserve">lability of capital receipts </w:t>
            </w:r>
            <w:r w:rsidR="002C47BD" w:rsidRPr="00F81C7D">
              <w:rPr>
                <w:rFonts w:ascii="Arial" w:hAnsi="Arial" w:cs="Arial"/>
              </w:rPr>
              <w:t>is</w:t>
            </w:r>
            <w:r w:rsidR="00C079E9" w:rsidRPr="00F81C7D">
              <w:rPr>
                <w:rFonts w:ascii="Arial" w:hAnsi="Arial" w:cs="Arial"/>
              </w:rPr>
              <w:t xml:space="preserve"> variable in terms of value and timing</w:t>
            </w:r>
            <w:r w:rsidRPr="00F81C7D">
              <w:rPr>
                <w:rFonts w:ascii="Arial" w:hAnsi="Arial" w:cs="Arial"/>
              </w:rPr>
              <w:t>.</w:t>
            </w:r>
            <w:r w:rsidR="00891D20" w:rsidRPr="00F81C7D">
              <w:rPr>
                <w:rFonts w:ascii="Arial" w:hAnsi="Arial" w:cs="Arial"/>
              </w:rPr>
              <w:t xml:space="preserve">  Therefore, w</w:t>
            </w:r>
            <w:r w:rsidR="00C079E9" w:rsidRPr="00F81C7D">
              <w:rPr>
                <w:rFonts w:ascii="Arial" w:hAnsi="Arial" w:cs="Arial"/>
              </w:rPr>
              <w:t>ith re</w:t>
            </w:r>
            <w:r w:rsidR="00E63545" w:rsidRPr="00F81C7D">
              <w:rPr>
                <w:rFonts w:ascii="Arial" w:hAnsi="Arial" w:cs="Arial"/>
              </w:rPr>
              <w:t>s</w:t>
            </w:r>
            <w:r w:rsidR="00C079E9" w:rsidRPr="00F81C7D">
              <w:rPr>
                <w:rFonts w:ascii="Arial" w:hAnsi="Arial" w:cs="Arial"/>
              </w:rPr>
              <w:t xml:space="preserve">erves </w:t>
            </w:r>
            <w:r w:rsidR="00E63545" w:rsidRPr="00F81C7D">
              <w:rPr>
                <w:rFonts w:ascii="Arial" w:hAnsi="Arial" w:cs="Arial"/>
              </w:rPr>
              <w:t xml:space="preserve">and committed funds </w:t>
            </w:r>
            <w:r w:rsidR="00891D20" w:rsidRPr="00F81C7D">
              <w:rPr>
                <w:rFonts w:ascii="Arial" w:hAnsi="Arial" w:cs="Arial"/>
              </w:rPr>
              <w:t xml:space="preserve">being finite in nature, coupled with </w:t>
            </w:r>
            <w:r w:rsidR="00C079E9" w:rsidRPr="00F81C7D">
              <w:rPr>
                <w:rFonts w:ascii="Arial" w:hAnsi="Arial" w:cs="Arial"/>
              </w:rPr>
              <w:t>significant reductions in capital grant and the unreliability of capital receipts, a greater emphasis is placed upon the est</w:t>
            </w:r>
            <w:r w:rsidR="00891D20" w:rsidRPr="00F81C7D">
              <w:rPr>
                <w:rFonts w:ascii="Arial" w:hAnsi="Arial" w:cs="Arial"/>
              </w:rPr>
              <w:t>abl</w:t>
            </w:r>
            <w:r w:rsidR="00C079E9" w:rsidRPr="00F81C7D">
              <w:rPr>
                <w:rFonts w:ascii="Arial" w:hAnsi="Arial" w:cs="Arial"/>
              </w:rPr>
              <w:t>i</w:t>
            </w:r>
            <w:r w:rsidR="00891D20" w:rsidRPr="00F81C7D">
              <w:rPr>
                <w:rFonts w:ascii="Arial" w:hAnsi="Arial" w:cs="Arial"/>
              </w:rPr>
              <w:t>shment</w:t>
            </w:r>
            <w:r w:rsidR="00C079E9" w:rsidRPr="00F81C7D">
              <w:rPr>
                <w:rFonts w:ascii="Arial" w:hAnsi="Arial" w:cs="Arial"/>
              </w:rPr>
              <w:t xml:space="preserve"> of a recurring </w:t>
            </w:r>
            <w:r w:rsidR="00236675">
              <w:rPr>
                <w:rFonts w:ascii="Arial" w:hAnsi="Arial" w:cs="Arial"/>
              </w:rPr>
              <w:t>R</w:t>
            </w:r>
            <w:r w:rsidR="00C079E9" w:rsidRPr="00F81C7D">
              <w:rPr>
                <w:rFonts w:ascii="Arial" w:hAnsi="Arial" w:cs="Arial"/>
              </w:rPr>
              <w:t xml:space="preserve">evenue </w:t>
            </w:r>
            <w:r w:rsidR="00236675">
              <w:rPr>
                <w:rFonts w:ascii="Arial" w:hAnsi="Arial" w:cs="Arial"/>
              </w:rPr>
              <w:t>C</w:t>
            </w:r>
            <w:r w:rsidR="00C079E9" w:rsidRPr="00F81C7D">
              <w:rPr>
                <w:rFonts w:ascii="Arial" w:hAnsi="Arial" w:cs="Arial"/>
              </w:rPr>
              <w:t xml:space="preserve">ontribution to </w:t>
            </w:r>
            <w:r w:rsidR="00236675">
              <w:rPr>
                <w:rFonts w:ascii="Arial" w:hAnsi="Arial" w:cs="Arial"/>
              </w:rPr>
              <w:t>C</w:t>
            </w:r>
            <w:r w:rsidR="00C079E9" w:rsidRPr="00F81C7D">
              <w:rPr>
                <w:rFonts w:ascii="Arial" w:hAnsi="Arial" w:cs="Arial"/>
              </w:rPr>
              <w:t>apital</w:t>
            </w:r>
            <w:r w:rsidR="00891D20" w:rsidRPr="00F81C7D">
              <w:rPr>
                <w:rFonts w:ascii="Arial" w:hAnsi="Arial" w:cs="Arial"/>
              </w:rPr>
              <w:t xml:space="preserve">, in order </w:t>
            </w:r>
            <w:r w:rsidR="00C079E9" w:rsidRPr="00F81C7D">
              <w:rPr>
                <w:rFonts w:ascii="Arial" w:hAnsi="Arial" w:cs="Arial"/>
              </w:rPr>
              <w:t>t</w:t>
            </w:r>
            <w:r w:rsidR="00891D20" w:rsidRPr="00F81C7D">
              <w:rPr>
                <w:rFonts w:ascii="Arial" w:hAnsi="Arial" w:cs="Arial"/>
              </w:rPr>
              <w:t>o provide surety to the deliv</w:t>
            </w:r>
            <w:r w:rsidR="00C079E9" w:rsidRPr="00F81C7D">
              <w:rPr>
                <w:rFonts w:ascii="Arial" w:hAnsi="Arial" w:cs="Arial"/>
              </w:rPr>
              <w:t>ery of the Commissioner</w:t>
            </w:r>
            <w:r w:rsidR="00891D20" w:rsidRPr="00F81C7D">
              <w:rPr>
                <w:rFonts w:ascii="Arial" w:hAnsi="Arial" w:cs="Arial"/>
              </w:rPr>
              <w:t>’</w:t>
            </w:r>
            <w:r w:rsidR="00C079E9" w:rsidRPr="00F81C7D">
              <w:rPr>
                <w:rFonts w:ascii="Arial" w:hAnsi="Arial" w:cs="Arial"/>
              </w:rPr>
              <w:t xml:space="preserve">s </w:t>
            </w:r>
            <w:r w:rsidR="007F7941">
              <w:rPr>
                <w:rFonts w:ascii="Arial" w:hAnsi="Arial" w:cs="Arial"/>
              </w:rPr>
              <w:t>C</w:t>
            </w:r>
            <w:r w:rsidR="00C079E9" w:rsidRPr="00F81C7D">
              <w:rPr>
                <w:rFonts w:ascii="Arial" w:hAnsi="Arial" w:cs="Arial"/>
              </w:rPr>
              <w:t xml:space="preserve">apital </w:t>
            </w:r>
            <w:r w:rsidR="007F7941">
              <w:rPr>
                <w:rFonts w:ascii="Arial" w:hAnsi="Arial" w:cs="Arial"/>
              </w:rPr>
              <w:t>P</w:t>
            </w:r>
            <w:r w:rsidR="00C079E9" w:rsidRPr="00F81C7D">
              <w:rPr>
                <w:rFonts w:ascii="Arial" w:hAnsi="Arial" w:cs="Arial"/>
              </w:rPr>
              <w:t xml:space="preserve">rogramme.  </w:t>
            </w:r>
            <w:r w:rsidR="00C079E9" w:rsidRPr="00147155">
              <w:rPr>
                <w:rFonts w:ascii="Arial" w:hAnsi="Arial" w:cs="Arial"/>
              </w:rPr>
              <w:t xml:space="preserve">To this end, </w:t>
            </w:r>
            <w:r w:rsidR="008B233C" w:rsidRPr="00147155">
              <w:rPr>
                <w:rFonts w:ascii="Arial" w:hAnsi="Arial" w:cs="Arial"/>
              </w:rPr>
              <w:t xml:space="preserve">the </w:t>
            </w:r>
            <w:r w:rsidR="008B233C" w:rsidRPr="00147155">
              <w:rPr>
                <w:rFonts w:ascii="Arial" w:hAnsi="Arial" w:cs="Arial"/>
                <w:u w:val="single"/>
              </w:rPr>
              <w:t>recurrent</w:t>
            </w:r>
            <w:r w:rsidR="008B233C" w:rsidRPr="00147155">
              <w:rPr>
                <w:rFonts w:ascii="Arial" w:hAnsi="Arial" w:cs="Arial"/>
              </w:rPr>
              <w:t xml:space="preserve"> </w:t>
            </w:r>
            <w:r w:rsidR="00236675" w:rsidRPr="00147155">
              <w:rPr>
                <w:rFonts w:ascii="Arial" w:hAnsi="Arial" w:cs="Arial"/>
              </w:rPr>
              <w:t>R</w:t>
            </w:r>
            <w:r w:rsidR="008B233C" w:rsidRPr="00147155">
              <w:rPr>
                <w:rFonts w:ascii="Arial" w:hAnsi="Arial" w:cs="Arial"/>
              </w:rPr>
              <w:t>ev</w:t>
            </w:r>
            <w:r w:rsidR="00891D20" w:rsidRPr="00147155">
              <w:rPr>
                <w:rFonts w:ascii="Arial" w:hAnsi="Arial" w:cs="Arial"/>
              </w:rPr>
              <w:t>e</w:t>
            </w:r>
            <w:r w:rsidR="008B233C" w:rsidRPr="00147155">
              <w:rPr>
                <w:rFonts w:ascii="Arial" w:hAnsi="Arial" w:cs="Arial"/>
              </w:rPr>
              <w:t xml:space="preserve">nue </w:t>
            </w:r>
            <w:r w:rsidR="00236675" w:rsidRPr="00147155">
              <w:rPr>
                <w:rFonts w:ascii="Arial" w:hAnsi="Arial" w:cs="Arial"/>
              </w:rPr>
              <w:t>C</w:t>
            </w:r>
            <w:r w:rsidR="008B233C" w:rsidRPr="00147155">
              <w:rPr>
                <w:rFonts w:ascii="Arial" w:hAnsi="Arial" w:cs="Arial"/>
              </w:rPr>
              <w:t xml:space="preserve">ontribution to </w:t>
            </w:r>
            <w:r w:rsidR="00236675" w:rsidRPr="00147155">
              <w:rPr>
                <w:rFonts w:ascii="Arial" w:hAnsi="Arial" w:cs="Arial"/>
              </w:rPr>
              <w:t>C</w:t>
            </w:r>
            <w:r w:rsidR="008B233C" w:rsidRPr="00147155">
              <w:rPr>
                <w:rFonts w:ascii="Arial" w:hAnsi="Arial" w:cs="Arial"/>
              </w:rPr>
              <w:t xml:space="preserve">apital was </w:t>
            </w:r>
            <w:r w:rsidR="00394E4C" w:rsidRPr="00147155">
              <w:rPr>
                <w:rFonts w:ascii="Arial" w:hAnsi="Arial" w:cs="Arial"/>
              </w:rPr>
              <w:t>increased significantly from</w:t>
            </w:r>
            <w:r w:rsidR="008B233C" w:rsidRPr="00147155">
              <w:rPr>
                <w:rFonts w:ascii="Arial" w:hAnsi="Arial" w:cs="Arial"/>
              </w:rPr>
              <w:t xml:space="preserve"> £</w:t>
            </w:r>
            <w:r w:rsidR="0028681A" w:rsidRPr="00147155">
              <w:rPr>
                <w:rFonts w:ascii="Arial" w:hAnsi="Arial" w:cs="Arial"/>
              </w:rPr>
              <w:t>2</w:t>
            </w:r>
            <w:r w:rsidR="008B233C" w:rsidRPr="00147155">
              <w:rPr>
                <w:rFonts w:ascii="Arial" w:hAnsi="Arial" w:cs="Arial"/>
              </w:rPr>
              <w:t>.</w:t>
            </w:r>
            <w:r w:rsidR="0028681A" w:rsidRPr="00147155">
              <w:rPr>
                <w:rFonts w:ascii="Arial" w:hAnsi="Arial" w:cs="Arial"/>
              </w:rPr>
              <w:t>64</w:t>
            </w:r>
            <w:r w:rsidR="008B233C" w:rsidRPr="00147155">
              <w:rPr>
                <w:rFonts w:ascii="Arial" w:hAnsi="Arial" w:cs="Arial"/>
              </w:rPr>
              <w:t xml:space="preserve">5m </w:t>
            </w:r>
            <w:r w:rsidR="00394E4C" w:rsidRPr="00147155">
              <w:rPr>
                <w:rFonts w:ascii="Arial" w:hAnsi="Arial" w:cs="Arial"/>
              </w:rPr>
              <w:t xml:space="preserve">to £6.145m </w:t>
            </w:r>
            <w:r w:rsidR="008B233C" w:rsidRPr="00147155">
              <w:rPr>
                <w:rFonts w:ascii="Arial" w:hAnsi="Arial" w:cs="Arial"/>
              </w:rPr>
              <w:t>during the 20</w:t>
            </w:r>
            <w:r w:rsidR="00C64CCD" w:rsidRPr="00147155">
              <w:rPr>
                <w:rFonts w:ascii="Arial" w:hAnsi="Arial" w:cs="Arial"/>
              </w:rPr>
              <w:t>2</w:t>
            </w:r>
            <w:r w:rsidR="00394E4C" w:rsidRPr="00147155">
              <w:rPr>
                <w:rFonts w:ascii="Arial" w:hAnsi="Arial" w:cs="Arial"/>
              </w:rPr>
              <w:t>2</w:t>
            </w:r>
            <w:r w:rsidR="008B233C" w:rsidRPr="00147155">
              <w:rPr>
                <w:rFonts w:ascii="Arial" w:hAnsi="Arial" w:cs="Arial"/>
              </w:rPr>
              <w:t>/</w:t>
            </w:r>
            <w:r w:rsidR="0028681A" w:rsidRPr="00147155">
              <w:rPr>
                <w:rFonts w:ascii="Arial" w:hAnsi="Arial" w:cs="Arial"/>
              </w:rPr>
              <w:t>2</w:t>
            </w:r>
            <w:r w:rsidR="00394E4C" w:rsidRPr="00147155">
              <w:rPr>
                <w:rFonts w:ascii="Arial" w:hAnsi="Arial" w:cs="Arial"/>
              </w:rPr>
              <w:t>3</w:t>
            </w:r>
            <w:r w:rsidR="008B233C" w:rsidRPr="00147155">
              <w:rPr>
                <w:rFonts w:ascii="Arial" w:hAnsi="Arial" w:cs="Arial"/>
              </w:rPr>
              <w:t xml:space="preserve"> </w:t>
            </w:r>
            <w:r w:rsidR="00891D20" w:rsidRPr="00147155">
              <w:rPr>
                <w:rFonts w:ascii="Arial" w:hAnsi="Arial" w:cs="Arial"/>
              </w:rPr>
              <w:t>bud</w:t>
            </w:r>
            <w:r w:rsidR="008B233C" w:rsidRPr="00147155">
              <w:rPr>
                <w:rFonts w:ascii="Arial" w:hAnsi="Arial" w:cs="Arial"/>
              </w:rPr>
              <w:t>g</w:t>
            </w:r>
            <w:r w:rsidR="00891D20" w:rsidRPr="00147155">
              <w:rPr>
                <w:rFonts w:ascii="Arial" w:hAnsi="Arial" w:cs="Arial"/>
              </w:rPr>
              <w:t>e</w:t>
            </w:r>
            <w:r w:rsidR="008B233C" w:rsidRPr="00147155">
              <w:rPr>
                <w:rFonts w:ascii="Arial" w:hAnsi="Arial" w:cs="Arial"/>
              </w:rPr>
              <w:t>t setting round</w:t>
            </w:r>
            <w:r w:rsidR="009F46C3" w:rsidRPr="00147155">
              <w:rPr>
                <w:rFonts w:ascii="Arial" w:hAnsi="Arial" w:cs="Arial"/>
              </w:rPr>
              <w:t>,</w:t>
            </w:r>
            <w:r w:rsidR="00670DBA" w:rsidRPr="00147155">
              <w:rPr>
                <w:rFonts w:ascii="Arial" w:hAnsi="Arial" w:cs="Arial"/>
              </w:rPr>
              <w:t xml:space="preserve"> and </w:t>
            </w:r>
            <w:r w:rsidR="009F46C3" w:rsidRPr="00147155">
              <w:rPr>
                <w:rFonts w:ascii="Arial" w:hAnsi="Arial" w:cs="Arial"/>
              </w:rPr>
              <w:t>furthermore</w:t>
            </w:r>
            <w:r w:rsidR="00B9295B" w:rsidRPr="00147155">
              <w:rPr>
                <w:rFonts w:ascii="Arial" w:hAnsi="Arial" w:cs="Arial"/>
              </w:rPr>
              <w:t xml:space="preserve"> </w:t>
            </w:r>
            <w:r w:rsidR="00670DBA" w:rsidRPr="00147155">
              <w:rPr>
                <w:rFonts w:ascii="Arial" w:hAnsi="Arial" w:cs="Arial"/>
              </w:rPr>
              <w:t>to £7.150m</w:t>
            </w:r>
            <w:r w:rsidR="00B9295B" w:rsidRPr="00147155">
              <w:rPr>
                <w:rFonts w:ascii="Arial" w:hAnsi="Arial" w:cs="Arial"/>
              </w:rPr>
              <w:t xml:space="preserve"> in the 2024/25 budget setting round</w:t>
            </w:r>
            <w:r w:rsidR="008B233C" w:rsidRPr="00147155">
              <w:rPr>
                <w:rFonts w:ascii="Arial" w:hAnsi="Arial" w:cs="Arial"/>
              </w:rPr>
              <w:t>.</w:t>
            </w:r>
            <w:r w:rsidR="00C64CCD" w:rsidRPr="00147155">
              <w:rPr>
                <w:rFonts w:ascii="Arial" w:hAnsi="Arial" w:cs="Arial"/>
              </w:rPr>
              <w:t xml:space="preserve">  The further non-recurrent increase showing for 202</w:t>
            </w:r>
            <w:r w:rsidR="009F46C3" w:rsidRPr="00147155">
              <w:rPr>
                <w:rFonts w:ascii="Arial" w:hAnsi="Arial" w:cs="Arial"/>
              </w:rPr>
              <w:t>4</w:t>
            </w:r>
            <w:r w:rsidR="00C64CCD" w:rsidRPr="00147155">
              <w:rPr>
                <w:rFonts w:ascii="Arial" w:hAnsi="Arial" w:cs="Arial"/>
              </w:rPr>
              <w:t>/2</w:t>
            </w:r>
            <w:r w:rsidR="009F46C3" w:rsidRPr="00147155">
              <w:rPr>
                <w:rFonts w:ascii="Arial" w:hAnsi="Arial" w:cs="Arial"/>
              </w:rPr>
              <w:t>5</w:t>
            </w:r>
            <w:r w:rsidR="00B9295B" w:rsidRPr="00147155">
              <w:rPr>
                <w:rFonts w:ascii="Arial" w:hAnsi="Arial" w:cs="Arial"/>
              </w:rPr>
              <w:t xml:space="preserve">, </w:t>
            </w:r>
            <w:r w:rsidR="00C64CCD" w:rsidRPr="00147155">
              <w:rPr>
                <w:rFonts w:ascii="Arial" w:hAnsi="Arial" w:cs="Arial"/>
              </w:rPr>
              <w:t xml:space="preserve">relates to the </w:t>
            </w:r>
            <w:r w:rsidR="00394E4C" w:rsidRPr="00147155">
              <w:rPr>
                <w:rFonts w:ascii="Arial" w:hAnsi="Arial" w:cs="Arial"/>
              </w:rPr>
              <w:t xml:space="preserve">utilisation of the non-recurrent forecast surplus for </w:t>
            </w:r>
            <w:r w:rsidR="00B9295B" w:rsidRPr="00147155">
              <w:rPr>
                <w:rFonts w:ascii="Arial" w:hAnsi="Arial" w:cs="Arial"/>
              </w:rPr>
              <w:t>the financial year</w:t>
            </w:r>
            <w:r w:rsidR="00C64CCD" w:rsidRPr="00147155">
              <w:rPr>
                <w:rFonts w:ascii="Arial" w:hAnsi="Arial" w:cs="Arial"/>
              </w:rPr>
              <w:t>.</w:t>
            </w:r>
            <w:r w:rsidR="00C079E9" w:rsidRPr="00147155">
              <w:rPr>
                <w:rFonts w:ascii="Arial" w:hAnsi="Arial" w:cs="Arial"/>
              </w:rPr>
              <w:t xml:space="preserve"> </w:t>
            </w:r>
            <w:r w:rsidR="009F46C3" w:rsidRPr="00147155">
              <w:rPr>
                <w:rFonts w:ascii="Arial" w:hAnsi="Arial" w:cs="Arial"/>
              </w:rPr>
              <w:t>The non-recurrent increase above £7.150m showing for 2025/26 and 2026/27, relates to the desire to borrow ‘rounded’ amounts of External Finance</w:t>
            </w:r>
            <w:r w:rsidR="00147155" w:rsidRPr="00147155">
              <w:rPr>
                <w:rFonts w:ascii="Arial" w:hAnsi="Arial" w:cs="Arial"/>
              </w:rPr>
              <w:t xml:space="preserve"> during these years</w:t>
            </w:r>
            <w:r w:rsidR="009F46C3" w:rsidRPr="00147155">
              <w:rPr>
                <w:rFonts w:ascii="Arial" w:hAnsi="Arial" w:cs="Arial"/>
              </w:rPr>
              <w:t>.  There</w:t>
            </w:r>
            <w:r w:rsidR="00147155" w:rsidRPr="00147155">
              <w:rPr>
                <w:rFonts w:ascii="Arial" w:hAnsi="Arial" w:cs="Arial"/>
              </w:rPr>
              <w:t>fore, the small additional sums to balance to the funding requirement for the totality of Capital Expenditure for a given financial year, is provided by a non-recurrent addition to Revenue Contribution to Capital.</w:t>
            </w:r>
            <w:r w:rsidR="009F46C3" w:rsidRPr="00F81C7D">
              <w:rPr>
                <w:rFonts w:ascii="Arial" w:hAnsi="Arial" w:cs="Arial"/>
              </w:rPr>
              <w:t xml:space="preserve"> </w:t>
            </w:r>
          </w:p>
          <w:p w14:paraId="17305607" w14:textId="387C4A8F" w:rsidR="00C079E9" w:rsidRPr="00F81C7D" w:rsidRDefault="00C079E9" w:rsidP="007079E9">
            <w:pPr>
              <w:pStyle w:val="ListParagraph"/>
              <w:autoSpaceDE w:val="0"/>
              <w:autoSpaceDN w:val="0"/>
              <w:jc w:val="both"/>
              <w:rPr>
                <w:rFonts w:ascii="Arial" w:hAnsi="Arial" w:cs="Arial"/>
              </w:rPr>
            </w:pPr>
          </w:p>
          <w:p w14:paraId="3460FFAB" w14:textId="77777777" w:rsidR="008B233C" w:rsidRPr="00F81C7D" w:rsidRDefault="008B233C" w:rsidP="007079E9">
            <w:pPr>
              <w:pStyle w:val="ListParagraph"/>
              <w:numPr>
                <w:ilvl w:val="0"/>
                <w:numId w:val="15"/>
              </w:numPr>
              <w:autoSpaceDE w:val="0"/>
              <w:autoSpaceDN w:val="0"/>
              <w:jc w:val="both"/>
              <w:rPr>
                <w:rFonts w:ascii="Arial" w:hAnsi="Arial" w:cs="Arial"/>
              </w:rPr>
            </w:pPr>
            <w:r w:rsidRPr="00F81C7D">
              <w:rPr>
                <w:rFonts w:ascii="Arial" w:hAnsi="Arial" w:cs="Arial"/>
              </w:rPr>
              <w:lastRenderedPageBreak/>
              <w:t xml:space="preserve">Planned Utilisation – This </w:t>
            </w:r>
            <w:r w:rsidR="00891D20" w:rsidRPr="00F81C7D">
              <w:rPr>
                <w:rFonts w:ascii="Arial" w:hAnsi="Arial" w:cs="Arial"/>
              </w:rPr>
              <w:t>committed fund</w:t>
            </w:r>
            <w:r w:rsidRPr="00F81C7D">
              <w:rPr>
                <w:rFonts w:ascii="Arial" w:hAnsi="Arial" w:cs="Arial"/>
              </w:rPr>
              <w:t xml:space="preserve"> will be used to fund the requirements of the overall Capital Programme.</w:t>
            </w:r>
          </w:p>
          <w:p w14:paraId="083D14A6" w14:textId="77777777" w:rsidR="00C079E9" w:rsidRPr="00F81C7D" w:rsidRDefault="00C079E9" w:rsidP="007079E9">
            <w:pPr>
              <w:pStyle w:val="ListParagraph"/>
              <w:autoSpaceDE w:val="0"/>
              <w:autoSpaceDN w:val="0"/>
              <w:jc w:val="both"/>
              <w:rPr>
                <w:rFonts w:ascii="Arial" w:hAnsi="Arial" w:cs="Arial"/>
              </w:rPr>
            </w:pPr>
          </w:p>
          <w:p w14:paraId="2A4DC965" w14:textId="05893789" w:rsidR="00E10285" w:rsidRPr="00F81C7D" w:rsidRDefault="00E10285"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External Borrowing – (Line B</w:t>
            </w:r>
            <w:r w:rsidR="00EF54D8">
              <w:rPr>
                <w:rFonts w:ascii="Arial" w:hAnsi="Arial" w:cs="Arial"/>
                <w:u w:val="single"/>
              </w:rPr>
              <w:t>1</w:t>
            </w:r>
            <w:r w:rsidRPr="00F81C7D">
              <w:rPr>
                <w:rFonts w:ascii="Arial" w:hAnsi="Arial" w:cs="Arial"/>
                <w:u w:val="single"/>
              </w:rPr>
              <w:t>d)</w:t>
            </w:r>
          </w:p>
          <w:p w14:paraId="0533FE2A" w14:textId="77777777" w:rsidR="00E10285" w:rsidRPr="00F81C7D" w:rsidRDefault="00E10285" w:rsidP="007079E9">
            <w:pPr>
              <w:pStyle w:val="ListParagraph"/>
              <w:autoSpaceDE w:val="0"/>
              <w:autoSpaceDN w:val="0"/>
              <w:jc w:val="both"/>
              <w:rPr>
                <w:rFonts w:ascii="Arial" w:hAnsi="Arial" w:cs="Arial"/>
                <w:u w:val="single"/>
              </w:rPr>
            </w:pPr>
          </w:p>
          <w:p w14:paraId="36AA35E6" w14:textId="76CBE7E3" w:rsidR="00E10285" w:rsidRPr="00F81C7D" w:rsidRDefault="00E10285" w:rsidP="007079E9">
            <w:pPr>
              <w:pStyle w:val="ListParagraph"/>
              <w:numPr>
                <w:ilvl w:val="0"/>
                <w:numId w:val="16"/>
              </w:numPr>
              <w:autoSpaceDE w:val="0"/>
              <w:autoSpaceDN w:val="0"/>
              <w:jc w:val="both"/>
              <w:rPr>
                <w:rFonts w:ascii="Arial" w:hAnsi="Arial" w:cs="Arial"/>
              </w:rPr>
            </w:pPr>
            <w:r w:rsidRPr="00F81C7D">
              <w:rPr>
                <w:rFonts w:ascii="Arial" w:hAnsi="Arial" w:cs="Arial"/>
              </w:rPr>
              <w:t xml:space="preserve">Purpose – This line simply represents </w:t>
            </w:r>
            <w:r w:rsidR="008200F6" w:rsidRPr="00F81C7D">
              <w:rPr>
                <w:rFonts w:ascii="Arial" w:hAnsi="Arial" w:cs="Arial"/>
              </w:rPr>
              <w:t>the levels of external borrowing required to deliver the Commissioner’s Capital Programme beyond 202</w:t>
            </w:r>
            <w:r w:rsidR="00293F04">
              <w:rPr>
                <w:rFonts w:ascii="Arial" w:hAnsi="Arial" w:cs="Arial"/>
              </w:rPr>
              <w:t>5</w:t>
            </w:r>
            <w:r w:rsidR="008200F6" w:rsidRPr="00F81C7D">
              <w:rPr>
                <w:rFonts w:ascii="Arial" w:hAnsi="Arial" w:cs="Arial"/>
              </w:rPr>
              <w:t>/2</w:t>
            </w:r>
            <w:r w:rsidR="00293F04">
              <w:rPr>
                <w:rFonts w:ascii="Arial" w:hAnsi="Arial" w:cs="Arial"/>
              </w:rPr>
              <w:t>6</w:t>
            </w:r>
            <w:r w:rsidR="00B6705F">
              <w:rPr>
                <w:rFonts w:ascii="Arial" w:hAnsi="Arial" w:cs="Arial"/>
              </w:rPr>
              <w:t xml:space="preserve"> and is explained in greater depth within the Commissioner’s 202</w:t>
            </w:r>
            <w:r w:rsidR="00293F04">
              <w:rPr>
                <w:rFonts w:ascii="Arial" w:hAnsi="Arial" w:cs="Arial"/>
              </w:rPr>
              <w:t>5</w:t>
            </w:r>
            <w:r w:rsidR="00B6705F">
              <w:rPr>
                <w:rFonts w:ascii="Arial" w:hAnsi="Arial" w:cs="Arial"/>
              </w:rPr>
              <w:t>/2</w:t>
            </w:r>
            <w:r w:rsidR="00293F04">
              <w:rPr>
                <w:rFonts w:ascii="Arial" w:hAnsi="Arial" w:cs="Arial"/>
              </w:rPr>
              <w:t>6</w:t>
            </w:r>
            <w:r w:rsidR="00B6705F">
              <w:rPr>
                <w:rFonts w:ascii="Arial" w:hAnsi="Arial" w:cs="Arial"/>
              </w:rPr>
              <w:t xml:space="preserve"> Treasury Management Strategy</w:t>
            </w:r>
            <w:r w:rsidR="008200F6" w:rsidRPr="00F81C7D">
              <w:rPr>
                <w:rFonts w:ascii="Arial" w:hAnsi="Arial" w:cs="Arial"/>
              </w:rPr>
              <w:t xml:space="preserve">. </w:t>
            </w:r>
          </w:p>
          <w:p w14:paraId="3AE28B93" w14:textId="77777777" w:rsidR="00E10285" w:rsidRPr="00F81C7D" w:rsidRDefault="00E10285" w:rsidP="007079E9">
            <w:pPr>
              <w:pStyle w:val="ListParagraph"/>
              <w:numPr>
                <w:ilvl w:val="0"/>
                <w:numId w:val="16"/>
              </w:numPr>
              <w:autoSpaceDE w:val="0"/>
              <w:autoSpaceDN w:val="0"/>
              <w:jc w:val="both"/>
              <w:rPr>
                <w:rFonts w:ascii="Arial" w:hAnsi="Arial" w:cs="Arial"/>
              </w:rPr>
            </w:pPr>
            <w:r w:rsidRPr="00F81C7D">
              <w:rPr>
                <w:rFonts w:ascii="Arial" w:hAnsi="Arial" w:cs="Arial"/>
              </w:rPr>
              <w:t xml:space="preserve">Planned Utilisation – This </w:t>
            </w:r>
            <w:r w:rsidR="008200F6" w:rsidRPr="00F81C7D">
              <w:rPr>
                <w:rFonts w:ascii="Arial" w:hAnsi="Arial" w:cs="Arial"/>
              </w:rPr>
              <w:t xml:space="preserve">committed </w:t>
            </w:r>
            <w:r w:rsidRPr="00F81C7D">
              <w:rPr>
                <w:rFonts w:ascii="Arial" w:hAnsi="Arial" w:cs="Arial"/>
              </w:rPr>
              <w:t>fund will be used to fund the requirements of the overall Capital Programme.</w:t>
            </w:r>
          </w:p>
          <w:p w14:paraId="20116A22" w14:textId="77777777" w:rsidR="00E10285" w:rsidRPr="00F81C7D" w:rsidRDefault="00E10285" w:rsidP="007079E9">
            <w:pPr>
              <w:pStyle w:val="ListParagraph"/>
              <w:autoSpaceDE w:val="0"/>
              <w:autoSpaceDN w:val="0"/>
              <w:jc w:val="both"/>
              <w:rPr>
                <w:rFonts w:ascii="Arial" w:hAnsi="Arial" w:cs="Arial"/>
              </w:rPr>
            </w:pPr>
          </w:p>
          <w:p w14:paraId="51344827" w14:textId="7B281FF8" w:rsidR="004A7B35" w:rsidRDefault="004A7B35" w:rsidP="007079E9">
            <w:pPr>
              <w:pStyle w:val="ListParagraph"/>
              <w:numPr>
                <w:ilvl w:val="0"/>
                <w:numId w:val="30"/>
              </w:numPr>
              <w:autoSpaceDE w:val="0"/>
              <w:autoSpaceDN w:val="0"/>
              <w:jc w:val="both"/>
              <w:rPr>
                <w:rFonts w:ascii="Arial" w:hAnsi="Arial" w:cs="Arial"/>
                <w:u w:val="single"/>
              </w:rPr>
            </w:pPr>
            <w:r>
              <w:rPr>
                <w:rFonts w:ascii="Arial" w:hAnsi="Arial" w:cs="Arial"/>
                <w:u w:val="single"/>
              </w:rPr>
              <w:t>ESN/</w:t>
            </w:r>
            <w:r w:rsidR="00562D6A">
              <w:rPr>
                <w:rFonts w:ascii="Arial" w:hAnsi="Arial" w:cs="Arial"/>
                <w:u w:val="single"/>
              </w:rPr>
              <w:t>Reserve Recycling</w:t>
            </w:r>
            <w:r w:rsidR="001348F8">
              <w:rPr>
                <w:rFonts w:ascii="Arial" w:hAnsi="Arial" w:cs="Arial"/>
                <w:u w:val="single"/>
              </w:rPr>
              <w:t xml:space="preserve"> </w:t>
            </w:r>
            <w:r w:rsidR="001348F8" w:rsidRPr="00F81C7D">
              <w:rPr>
                <w:rFonts w:ascii="Arial" w:hAnsi="Arial" w:cs="Arial"/>
                <w:u w:val="single"/>
              </w:rPr>
              <w:t>– (Line B</w:t>
            </w:r>
            <w:r w:rsidR="00EF54D8">
              <w:rPr>
                <w:rFonts w:ascii="Arial" w:hAnsi="Arial" w:cs="Arial"/>
                <w:u w:val="single"/>
              </w:rPr>
              <w:t>1</w:t>
            </w:r>
            <w:r w:rsidR="001348F8">
              <w:rPr>
                <w:rFonts w:ascii="Arial" w:hAnsi="Arial" w:cs="Arial"/>
                <w:u w:val="single"/>
              </w:rPr>
              <w:t>e</w:t>
            </w:r>
            <w:r w:rsidR="001348F8" w:rsidRPr="00F81C7D">
              <w:rPr>
                <w:rFonts w:ascii="Arial" w:hAnsi="Arial" w:cs="Arial"/>
                <w:u w:val="single"/>
              </w:rPr>
              <w:t>)</w:t>
            </w:r>
          </w:p>
          <w:p w14:paraId="282F8DFE" w14:textId="488B7845" w:rsidR="004A7B35" w:rsidRDefault="004A7B35" w:rsidP="007079E9">
            <w:pPr>
              <w:pStyle w:val="ListParagraph"/>
              <w:autoSpaceDE w:val="0"/>
              <w:autoSpaceDN w:val="0"/>
              <w:jc w:val="both"/>
              <w:rPr>
                <w:rFonts w:ascii="Arial" w:hAnsi="Arial" w:cs="Arial"/>
                <w:u w:val="single"/>
              </w:rPr>
            </w:pPr>
          </w:p>
          <w:p w14:paraId="58F4DC88" w14:textId="3B29EAAB" w:rsidR="004A7B35" w:rsidRPr="00F81C7D" w:rsidRDefault="004A7B35" w:rsidP="007079E9">
            <w:pPr>
              <w:pStyle w:val="ListParagraph"/>
              <w:numPr>
                <w:ilvl w:val="0"/>
                <w:numId w:val="37"/>
              </w:numPr>
              <w:autoSpaceDE w:val="0"/>
              <w:autoSpaceDN w:val="0"/>
              <w:jc w:val="both"/>
              <w:rPr>
                <w:rFonts w:ascii="Arial" w:hAnsi="Arial" w:cs="Arial"/>
              </w:rPr>
            </w:pPr>
            <w:r w:rsidRPr="00F81C7D">
              <w:rPr>
                <w:rFonts w:ascii="Arial" w:hAnsi="Arial" w:cs="Arial"/>
              </w:rPr>
              <w:t xml:space="preserve">Purpose – This line represents </w:t>
            </w:r>
            <w:r>
              <w:rPr>
                <w:rFonts w:ascii="Arial" w:hAnsi="Arial" w:cs="Arial"/>
              </w:rPr>
              <w:t xml:space="preserve">two distinct sources of funding.  Firstly, it captures Reserves and Committed Funds which are deemed suitable for ‘recycling’, in order to fund the Capital Programme (See </w:t>
            </w:r>
            <w:r w:rsidR="007F7941">
              <w:rPr>
                <w:rFonts w:ascii="Arial" w:hAnsi="Arial" w:cs="Arial"/>
              </w:rPr>
              <w:t xml:space="preserve">paragraph </w:t>
            </w:r>
            <w:r w:rsidR="007F7941" w:rsidRPr="00AC4358">
              <w:rPr>
                <w:rFonts w:ascii="Arial" w:hAnsi="Arial" w:cs="Arial"/>
              </w:rPr>
              <w:t xml:space="preserve">4.11 </w:t>
            </w:r>
            <w:r w:rsidR="00AC4358" w:rsidRPr="00AC4358">
              <w:rPr>
                <w:rFonts w:ascii="Arial" w:hAnsi="Arial" w:cs="Arial"/>
              </w:rPr>
              <w:t>h</w:t>
            </w:r>
            <w:r w:rsidR="007F7941" w:rsidRPr="00AC4358">
              <w:rPr>
                <w:rFonts w:ascii="Arial" w:hAnsi="Arial" w:cs="Arial"/>
              </w:rPr>
              <w:t>)</w:t>
            </w:r>
            <w:r>
              <w:rPr>
                <w:rFonts w:ascii="Arial" w:hAnsi="Arial" w:cs="Arial"/>
              </w:rPr>
              <w:t xml:space="preserve"> below).  Secondly, it captures appropriate movem</w:t>
            </w:r>
            <w:r w:rsidR="007F7941">
              <w:rPr>
                <w:rFonts w:ascii="Arial" w:hAnsi="Arial" w:cs="Arial"/>
              </w:rPr>
              <w:t>e</w:t>
            </w:r>
            <w:r>
              <w:rPr>
                <w:rFonts w:ascii="Arial" w:hAnsi="Arial" w:cs="Arial"/>
              </w:rPr>
              <w:t xml:space="preserve">nts from the Airwave </w:t>
            </w:r>
            <w:r w:rsidR="00F549AB">
              <w:rPr>
                <w:rFonts w:ascii="Arial" w:hAnsi="Arial" w:cs="Arial"/>
              </w:rPr>
              <w:t>C</w:t>
            </w:r>
            <w:r>
              <w:rPr>
                <w:rFonts w:ascii="Arial" w:hAnsi="Arial" w:cs="Arial"/>
              </w:rPr>
              <w:t>ommitted Fun</w:t>
            </w:r>
            <w:r w:rsidR="007F7941">
              <w:rPr>
                <w:rFonts w:ascii="Arial" w:hAnsi="Arial" w:cs="Arial"/>
              </w:rPr>
              <w:t>d</w:t>
            </w:r>
            <w:r>
              <w:rPr>
                <w:rFonts w:ascii="Arial" w:hAnsi="Arial" w:cs="Arial"/>
              </w:rPr>
              <w:t xml:space="preserve"> </w:t>
            </w:r>
            <w:r w:rsidRPr="007F7941">
              <w:rPr>
                <w:rFonts w:ascii="Arial" w:hAnsi="Arial" w:cs="Arial"/>
              </w:rPr>
              <w:t>(Line C3</w:t>
            </w:r>
            <w:r w:rsidR="007F7941" w:rsidRPr="007F7941">
              <w:rPr>
                <w:rFonts w:ascii="Arial" w:hAnsi="Arial" w:cs="Arial"/>
              </w:rPr>
              <w:t xml:space="preserve"> of the Revenue Reserves and Committed Funds section</w:t>
            </w:r>
            <w:r w:rsidRPr="007F7941">
              <w:rPr>
                <w:rFonts w:ascii="Arial" w:hAnsi="Arial" w:cs="Arial"/>
              </w:rPr>
              <w:t>),</w:t>
            </w:r>
            <w:r>
              <w:rPr>
                <w:rFonts w:ascii="Arial" w:hAnsi="Arial" w:cs="Arial"/>
              </w:rPr>
              <w:t xml:space="preserve"> to match the spend in relation to its </w:t>
            </w:r>
            <w:r w:rsidRPr="007F7941">
              <w:rPr>
                <w:rFonts w:ascii="Arial" w:hAnsi="Arial" w:cs="Arial"/>
              </w:rPr>
              <w:t>successor technol</w:t>
            </w:r>
            <w:r w:rsidR="007F7941" w:rsidRPr="007F7941">
              <w:rPr>
                <w:rFonts w:ascii="Arial" w:hAnsi="Arial" w:cs="Arial"/>
              </w:rPr>
              <w:t>og</w:t>
            </w:r>
            <w:r w:rsidRPr="007F7941">
              <w:rPr>
                <w:rFonts w:ascii="Arial" w:hAnsi="Arial" w:cs="Arial"/>
              </w:rPr>
              <w:t>y</w:t>
            </w:r>
            <w:r w:rsidR="007F7941" w:rsidRPr="007F7941">
              <w:rPr>
                <w:rFonts w:ascii="Arial" w:hAnsi="Arial" w:cs="Arial"/>
              </w:rPr>
              <w:t>.  T</w:t>
            </w:r>
            <w:r w:rsidRPr="007F7941">
              <w:rPr>
                <w:rFonts w:ascii="Arial" w:hAnsi="Arial" w:cs="Arial"/>
              </w:rPr>
              <w:t xml:space="preserve">he </w:t>
            </w:r>
            <w:r w:rsidR="008E46B3" w:rsidRPr="007F7941">
              <w:rPr>
                <w:rFonts w:ascii="Arial" w:hAnsi="Arial" w:cs="Arial"/>
              </w:rPr>
              <w:t>Emergency Services Mobile Communications Programme’s (ESMCP) Emergency Service Network (ESN)</w:t>
            </w:r>
            <w:r w:rsidR="007F7941" w:rsidRPr="007F7941">
              <w:rPr>
                <w:rFonts w:ascii="Arial" w:hAnsi="Arial" w:cs="Arial"/>
              </w:rPr>
              <w:t xml:space="preserve"> will succeed Airwave, </w:t>
            </w:r>
            <w:r w:rsidR="008E46B3" w:rsidRPr="007F7941">
              <w:rPr>
                <w:rFonts w:ascii="Arial" w:hAnsi="Arial" w:cs="Arial"/>
              </w:rPr>
              <w:t>provid</w:t>
            </w:r>
            <w:r w:rsidR="007F7941" w:rsidRPr="007F7941">
              <w:rPr>
                <w:rFonts w:ascii="Arial" w:hAnsi="Arial" w:cs="Arial"/>
              </w:rPr>
              <w:t xml:space="preserve">ing </w:t>
            </w:r>
            <w:r w:rsidR="008E46B3" w:rsidRPr="007F7941">
              <w:rPr>
                <w:rFonts w:ascii="Arial" w:hAnsi="Arial" w:cs="Arial"/>
              </w:rPr>
              <w:t xml:space="preserve">the next generation communication system for the </w:t>
            </w:r>
            <w:r w:rsidR="007F7941" w:rsidRPr="007F7941">
              <w:rPr>
                <w:rFonts w:ascii="Arial" w:hAnsi="Arial" w:cs="Arial"/>
              </w:rPr>
              <w:t>three</w:t>
            </w:r>
            <w:r w:rsidR="008E46B3" w:rsidRPr="007F7941">
              <w:rPr>
                <w:rFonts w:ascii="Arial" w:hAnsi="Arial" w:cs="Arial"/>
              </w:rPr>
              <w:t xml:space="preserve"> </w:t>
            </w:r>
            <w:r w:rsidR="007F7941" w:rsidRPr="007F7941">
              <w:rPr>
                <w:rFonts w:ascii="Arial" w:hAnsi="Arial" w:cs="Arial"/>
              </w:rPr>
              <w:t>E</w:t>
            </w:r>
            <w:r w:rsidR="008E46B3" w:rsidRPr="007F7941">
              <w:rPr>
                <w:rFonts w:ascii="Arial" w:hAnsi="Arial" w:cs="Arial"/>
              </w:rPr>
              <w:t xml:space="preserve">mergency </w:t>
            </w:r>
            <w:r w:rsidR="007F7941" w:rsidRPr="007F7941">
              <w:rPr>
                <w:rFonts w:ascii="Arial" w:hAnsi="Arial" w:cs="Arial"/>
              </w:rPr>
              <w:t>S</w:t>
            </w:r>
            <w:r w:rsidR="008E46B3" w:rsidRPr="007F7941">
              <w:rPr>
                <w:rFonts w:ascii="Arial" w:hAnsi="Arial" w:cs="Arial"/>
              </w:rPr>
              <w:t>ervices (</w:t>
            </w:r>
            <w:r w:rsidR="007F7941" w:rsidRPr="007F7941">
              <w:rPr>
                <w:rFonts w:ascii="Arial" w:hAnsi="Arial" w:cs="Arial"/>
              </w:rPr>
              <w:t>P</w:t>
            </w:r>
            <w:r w:rsidR="008E46B3" w:rsidRPr="007F7941">
              <w:rPr>
                <w:rFonts w:ascii="Arial" w:hAnsi="Arial" w:cs="Arial"/>
              </w:rPr>
              <w:t xml:space="preserve">olice, </w:t>
            </w:r>
            <w:r w:rsidR="007F7941" w:rsidRPr="007F7941">
              <w:rPr>
                <w:rFonts w:ascii="Arial" w:hAnsi="Arial" w:cs="Arial"/>
              </w:rPr>
              <w:t>F</w:t>
            </w:r>
            <w:r w:rsidR="008E46B3" w:rsidRPr="007F7941">
              <w:rPr>
                <w:rFonts w:ascii="Arial" w:hAnsi="Arial" w:cs="Arial"/>
              </w:rPr>
              <w:t xml:space="preserve">ire </w:t>
            </w:r>
            <w:r w:rsidR="007F7941" w:rsidRPr="007F7941">
              <w:rPr>
                <w:rFonts w:ascii="Arial" w:hAnsi="Arial" w:cs="Arial"/>
              </w:rPr>
              <w:t>&amp;</w:t>
            </w:r>
            <w:r w:rsidR="008E46B3" w:rsidRPr="007F7941">
              <w:rPr>
                <w:rFonts w:ascii="Arial" w:hAnsi="Arial" w:cs="Arial"/>
              </w:rPr>
              <w:t xml:space="preserve"> </w:t>
            </w:r>
            <w:r w:rsidR="007F7941" w:rsidRPr="007F7941">
              <w:rPr>
                <w:rFonts w:ascii="Arial" w:hAnsi="Arial" w:cs="Arial"/>
              </w:rPr>
              <w:t>R</w:t>
            </w:r>
            <w:r w:rsidR="008E46B3" w:rsidRPr="007F7941">
              <w:rPr>
                <w:rFonts w:ascii="Arial" w:hAnsi="Arial" w:cs="Arial"/>
              </w:rPr>
              <w:t xml:space="preserve">escue and </w:t>
            </w:r>
            <w:r w:rsidR="007F7941" w:rsidRPr="007F7941">
              <w:rPr>
                <w:rFonts w:ascii="Arial" w:hAnsi="Arial" w:cs="Arial"/>
              </w:rPr>
              <w:t>A</w:t>
            </w:r>
            <w:r w:rsidR="008E46B3" w:rsidRPr="007F7941">
              <w:rPr>
                <w:rFonts w:ascii="Arial" w:hAnsi="Arial" w:cs="Arial"/>
              </w:rPr>
              <w:t>mbulance) and other public safety users.</w:t>
            </w:r>
            <w:r>
              <w:rPr>
                <w:rFonts w:ascii="Arial" w:hAnsi="Arial" w:cs="Arial"/>
              </w:rPr>
              <w:t xml:space="preserve"> </w:t>
            </w:r>
            <w:r w:rsidR="007F7941">
              <w:rPr>
                <w:rFonts w:ascii="Arial" w:hAnsi="Arial" w:cs="Arial"/>
              </w:rPr>
              <w:t xml:space="preserve"> </w:t>
            </w:r>
            <w:r>
              <w:rPr>
                <w:rFonts w:ascii="Arial" w:hAnsi="Arial" w:cs="Arial"/>
              </w:rPr>
              <w:t xml:space="preserve">The Airwave </w:t>
            </w:r>
            <w:r w:rsidR="00F549AB">
              <w:rPr>
                <w:rFonts w:ascii="Arial" w:hAnsi="Arial" w:cs="Arial"/>
              </w:rPr>
              <w:t>C</w:t>
            </w:r>
            <w:r>
              <w:rPr>
                <w:rFonts w:ascii="Arial" w:hAnsi="Arial" w:cs="Arial"/>
              </w:rPr>
              <w:t>ommitted Fund must remain to fund bo</w:t>
            </w:r>
            <w:r w:rsidR="007F7941">
              <w:rPr>
                <w:rFonts w:ascii="Arial" w:hAnsi="Arial" w:cs="Arial"/>
              </w:rPr>
              <w:t>t</w:t>
            </w:r>
            <w:r>
              <w:rPr>
                <w:rFonts w:ascii="Arial" w:hAnsi="Arial" w:cs="Arial"/>
              </w:rPr>
              <w:t>h conti</w:t>
            </w:r>
            <w:r w:rsidR="007F7941">
              <w:rPr>
                <w:rFonts w:ascii="Arial" w:hAnsi="Arial" w:cs="Arial"/>
              </w:rPr>
              <w:t>nuing</w:t>
            </w:r>
            <w:r>
              <w:rPr>
                <w:rFonts w:ascii="Arial" w:hAnsi="Arial" w:cs="Arial"/>
              </w:rPr>
              <w:t xml:space="preserve"> Airwave commitments (such as device refre</w:t>
            </w:r>
            <w:r w:rsidR="007F7941">
              <w:rPr>
                <w:rFonts w:ascii="Arial" w:hAnsi="Arial" w:cs="Arial"/>
              </w:rPr>
              <w:t>s</w:t>
            </w:r>
            <w:r>
              <w:rPr>
                <w:rFonts w:ascii="Arial" w:hAnsi="Arial" w:cs="Arial"/>
              </w:rPr>
              <w:t>hes until full transition to ESN has been achieved</w:t>
            </w:r>
            <w:r w:rsidR="007F7941">
              <w:rPr>
                <w:rFonts w:ascii="Arial" w:hAnsi="Arial" w:cs="Arial"/>
              </w:rPr>
              <w:t>)</w:t>
            </w:r>
            <w:r>
              <w:rPr>
                <w:rFonts w:ascii="Arial" w:hAnsi="Arial" w:cs="Arial"/>
              </w:rPr>
              <w:t xml:space="preserve"> and to al</w:t>
            </w:r>
            <w:r w:rsidR="007F7941">
              <w:rPr>
                <w:rFonts w:ascii="Arial" w:hAnsi="Arial" w:cs="Arial"/>
              </w:rPr>
              <w:t>s</w:t>
            </w:r>
            <w:r>
              <w:rPr>
                <w:rFonts w:ascii="Arial" w:hAnsi="Arial" w:cs="Arial"/>
              </w:rPr>
              <w:t>o fund the tra</w:t>
            </w:r>
            <w:r w:rsidR="007F7941">
              <w:rPr>
                <w:rFonts w:ascii="Arial" w:hAnsi="Arial" w:cs="Arial"/>
              </w:rPr>
              <w:t>n</w:t>
            </w:r>
            <w:r>
              <w:rPr>
                <w:rFonts w:ascii="Arial" w:hAnsi="Arial" w:cs="Arial"/>
              </w:rPr>
              <w:t>s</w:t>
            </w:r>
            <w:r w:rsidR="007F7941">
              <w:rPr>
                <w:rFonts w:ascii="Arial" w:hAnsi="Arial" w:cs="Arial"/>
              </w:rPr>
              <w:t>i</w:t>
            </w:r>
            <w:r>
              <w:rPr>
                <w:rFonts w:ascii="Arial" w:hAnsi="Arial" w:cs="Arial"/>
              </w:rPr>
              <w:t>tion costs to ESN itself.</w:t>
            </w:r>
            <w:r w:rsidRPr="00F81C7D">
              <w:rPr>
                <w:rFonts w:ascii="Arial" w:hAnsi="Arial" w:cs="Arial"/>
              </w:rPr>
              <w:t xml:space="preserve"> </w:t>
            </w:r>
          </w:p>
          <w:p w14:paraId="44BD1FD4" w14:textId="159A0DB0" w:rsidR="004A7B35" w:rsidRPr="00F81C7D" w:rsidRDefault="004A7B35" w:rsidP="007079E9">
            <w:pPr>
              <w:pStyle w:val="ListParagraph"/>
              <w:numPr>
                <w:ilvl w:val="0"/>
                <w:numId w:val="37"/>
              </w:numPr>
              <w:autoSpaceDE w:val="0"/>
              <w:autoSpaceDN w:val="0"/>
              <w:jc w:val="both"/>
              <w:rPr>
                <w:rFonts w:ascii="Arial" w:hAnsi="Arial" w:cs="Arial"/>
              </w:rPr>
            </w:pPr>
            <w:r w:rsidRPr="00F81C7D">
              <w:rPr>
                <w:rFonts w:ascii="Arial" w:hAnsi="Arial" w:cs="Arial"/>
              </w:rPr>
              <w:t xml:space="preserve">Planned Utilisation – This </w:t>
            </w:r>
            <w:r w:rsidR="007F7941">
              <w:rPr>
                <w:rFonts w:ascii="Arial" w:hAnsi="Arial" w:cs="Arial"/>
              </w:rPr>
              <w:t xml:space="preserve">‘recycled’ </w:t>
            </w:r>
            <w:r w:rsidR="001348F8">
              <w:rPr>
                <w:rFonts w:ascii="Arial" w:hAnsi="Arial" w:cs="Arial"/>
              </w:rPr>
              <w:t xml:space="preserve">element of this </w:t>
            </w:r>
            <w:r w:rsidRPr="00F81C7D">
              <w:rPr>
                <w:rFonts w:ascii="Arial" w:hAnsi="Arial" w:cs="Arial"/>
              </w:rPr>
              <w:t xml:space="preserve">committed fund will be </w:t>
            </w:r>
            <w:r w:rsidR="000A2380">
              <w:rPr>
                <w:rFonts w:ascii="Arial" w:hAnsi="Arial" w:cs="Arial"/>
              </w:rPr>
              <w:t>primarily u</w:t>
            </w:r>
            <w:r w:rsidR="001348F8">
              <w:rPr>
                <w:rFonts w:ascii="Arial" w:hAnsi="Arial" w:cs="Arial"/>
              </w:rPr>
              <w:t>tilised during 202</w:t>
            </w:r>
            <w:r w:rsidR="00293F04">
              <w:rPr>
                <w:rFonts w:ascii="Arial" w:hAnsi="Arial" w:cs="Arial"/>
              </w:rPr>
              <w:t>5</w:t>
            </w:r>
            <w:r w:rsidR="001348F8">
              <w:rPr>
                <w:rFonts w:ascii="Arial" w:hAnsi="Arial" w:cs="Arial"/>
              </w:rPr>
              <w:t>/2</w:t>
            </w:r>
            <w:r w:rsidR="00293F04">
              <w:rPr>
                <w:rFonts w:ascii="Arial" w:hAnsi="Arial" w:cs="Arial"/>
              </w:rPr>
              <w:t>6</w:t>
            </w:r>
            <w:r w:rsidR="000A2380">
              <w:rPr>
                <w:rFonts w:ascii="Arial" w:hAnsi="Arial" w:cs="Arial"/>
              </w:rPr>
              <w:t xml:space="preserve"> </w:t>
            </w:r>
            <w:r w:rsidRPr="00F81C7D">
              <w:rPr>
                <w:rFonts w:ascii="Arial" w:hAnsi="Arial" w:cs="Arial"/>
              </w:rPr>
              <w:t>to fund the requirements of the overall Capital Programme.</w:t>
            </w:r>
            <w:r w:rsidR="001348F8">
              <w:rPr>
                <w:rFonts w:ascii="Arial" w:hAnsi="Arial" w:cs="Arial"/>
              </w:rPr>
              <w:t xml:space="preserve">  In relation to the ESN element, </w:t>
            </w:r>
            <w:r w:rsidR="00A906C8">
              <w:rPr>
                <w:rFonts w:ascii="Arial" w:hAnsi="Arial" w:cs="Arial"/>
              </w:rPr>
              <w:t>p</w:t>
            </w:r>
            <w:r w:rsidR="001348F8">
              <w:rPr>
                <w:rFonts w:ascii="Arial" w:hAnsi="Arial" w:cs="Arial"/>
              </w:rPr>
              <w:t>ara</w:t>
            </w:r>
            <w:r w:rsidR="00A906C8">
              <w:rPr>
                <w:rFonts w:ascii="Arial" w:hAnsi="Arial" w:cs="Arial"/>
              </w:rPr>
              <w:t>graph</w:t>
            </w:r>
            <w:r w:rsidR="001348F8">
              <w:rPr>
                <w:rFonts w:ascii="Arial" w:hAnsi="Arial" w:cs="Arial"/>
              </w:rPr>
              <w:t xml:space="preserve"> </w:t>
            </w:r>
            <w:r w:rsidR="00A906C8">
              <w:rPr>
                <w:rFonts w:ascii="Arial" w:hAnsi="Arial" w:cs="Arial"/>
              </w:rPr>
              <w:t>4.1</w:t>
            </w:r>
            <w:r w:rsidR="006C08C3">
              <w:rPr>
                <w:rFonts w:ascii="Arial" w:hAnsi="Arial" w:cs="Arial"/>
              </w:rPr>
              <w:t>2</w:t>
            </w:r>
            <w:r w:rsidR="00A906C8">
              <w:rPr>
                <w:rFonts w:ascii="Arial" w:hAnsi="Arial" w:cs="Arial"/>
              </w:rPr>
              <w:t xml:space="preserve"> </w:t>
            </w:r>
            <w:r w:rsidR="006C08C3">
              <w:rPr>
                <w:rFonts w:ascii="Arial" w:hAnsi="Arial" w:cs="Arial"/>
              </w:rPr>
              <w:t>c</w:t>
            </w:r>
            <w:r w:rsidR="00A906C8">
              <w:rPr>
                <w:rFonts w:ascii="Arial" w:hAnsi="Arial" w:cs="Arial"/>
              </w:rPr>
              <w:t xml:space="preserve">) </w:t>
            </w:r>
            <w:r w:rsidR="001348F8">
              <w:rPr>
                <w:rFonts w:ascii="Arial" w:hAnsi="Arial" w:cs="Arial"/>
              </w:rPr>
              <w:t xml:space="preserve">below provides the proposed </w:t>
            </w:r>
            <w:r w:rsidR="005A7C71">
              <w:rPr>
                <w:rFonts w:ascii="Arial" w:hAnsi="Arial" w:cs="Arial"/>
              </w:rPr>
              <w:t>utilisation.</w:t>
            </w:r>
            <w:r w:rsidR="001348F8">
              <w:rPr>
                <w:rFonts w:ascii="Arial" w:hAnsi="Arial" w:cs="Arial"/>
              </w:rPr>
              <w:t xml:space="preserve"> </w:t>
            </w:r>
          </w:p>
          <w:p w14:paraId="5613DACD" w14:textId="77777777" w:rsidR="004A7B35" w:rsidRDefault="004A7B35" w:rsidP="007079E9">
            <w:pPr>
              <w:pStyle w:val="ListParagraph"/>
              <w:autoSpaceDE w:val="0"/>
              <w:autoSpaceDN w:val="0"/>
              <w:jc w:val="both"/>
              <w:rPr>
                <w:rFonts w:ascii="Arial" w:hAnsi="Arial" w:cs="Arial"/>
                <w:u w:val="single"/>
              </w:rPr>
            </w:pPr>
          </w:p>
          <w:p w14:paraId="7239435F" w14:textId="4E9353F1" w:rsidR="00E503C8" w:rsidRPr="00F81C7D" w:rsidRDefault="00853D45" w:rsidP="00E503C8">
            <w:pPr>
              <w:pStyle w:val="ListParagraph"/>
              <w:numPr>
                <w:ilvl w:val="0"/>
                <w:numId w:val="30"/>
              </w:numPr>
              <w:autoSpaceDE w:val="0"/>
              <w:autoSpaceDN w:val="0"/>
              <w:jc w:val="both"/>
              <w:rPr>
                <w:rFonts w:ascii="Arial" w:hAnsi="Arial" w:cs="Arial"/>
                <w:u w:val="single"/>
              </w:rPr>
            </w:pPr>
            <w:r>
              <w:rPr>
                <w:rFonts w:ascii="Arial" w:hAnsi="Arial" w:cs="Arial"/>
                <w:u w:val="single"/>
              </w:rPr>
              <w:t>Capital and Long-Term Funding B/</w:t>
            </w:r>
            <w:proofErr w:type="spellStart"/>
            <w:r>
              <w:rPr>
                <w:rFonts w:ascii="Arial" w:hAnsi="Arial" w:cs="Arial"/>
                <w:u w:val="single"/>
              </w:rPr>
              <w:t>fwd</w:t>
            </w:r>
            <w:proofErr w:type="spellEnd"/>
            <w:r w:rsidR="00E503C8" w:rsidRPr="00F81C7D">
              <w:rPr>
                <w:rFonts w:ascii="Arial" w:hAnsi="Arial" w:cs="Arial"/>
                <w:u w:val="single"/>
              </w:rPr>
              <w:t xml:space="preserve"> - (Line B</w:t>
            </w:r>
            <w:r w:rsidR="00E503C8">
              <w:rPr>
                <w:rFonts w:ascii="Arial" w:hAnsi="Arial" w:cs="Arial"/>
                <w:u w:val="single"/>
              </w:rPr>
              <w:t>1f</w:t>
            </w:r>
            <w:r w:rsidR="00E503C8" w:rsidRPr="00F81C7D">
              <w:rPr>
                <w:rFonts w:ascii="Arial" w:hAnsi="Arial" w:cs="Arial"/>
                <w:u w:val="single"/>
              </w:rPr>
              <w:t>i)</w:t>
            </w:r>
          </w:p>
          <w:p w14:paraId="19DA87A7" w14:textId="77777777" w:rsidR="00E503C8" w:rsidRDefault="00E503C8" w:rsidP="00E503C8">
            <w:pPr>
              <w:pStyle w:val="ListParagraph"/>
              <w:autoSpaceDE w:val="0"/>
              <w:autoSpaceDN w:val="0"/>
              <w:jc w:val="both"/>
              <w:rPr>
                <w:rFonts w:ascii="Arial" w:hAnsi="Arial" w:cs="Arial"/>
              </w:rPr>
            </w:pPr>
          </w:p>
          <w:p w14:paraId="6F92DA1F" w14:textId="0D7B80CF" w:rsidR="00E503C8" w:rsidRPr="00F81C7D" w:rsidRDefault="00E503C8" w:rsidP="00E503C8">
            <w:pPr>
              <w:pStyle w:val="ListParagraph"/>
              <w:numPr>
                <w:ilvl w:val="0"/>
                <w:numId w:val="35"/>
              </w:numPr>
              <w:autoSpaceDE w:val="0"/>
              <w:autoSpaceDN w:val="0"/>
              <w:jc w:val="both"/>
              <w:rPr>
                <w:rFonts w:ascii="Arial" w:hAnsi="Arial" w:cs="Arial"/>
              </w:rPr>
            </w:pPr>
            <w:r w:rsidRPr="00F81C7D">
              <w:rPr>
                <w:rFonts w:ascii="Arial" w:hAnsi="Arial" w:cs="Arial"/>
              </w:rPr>
              <w:t>Purpose – Th</w:t>
            </w:r>
            <w:r w:rsidR="00853D45">
              <w:rPr>
                <w:rFonts w:ascii="Arial" w:hAnsi="Arial" w:cs="Arial"/>
              </w:rPr>
              <w:t>is line simply represents future years’ unallocated funding from the recurrent element of Revenue Contribution to Capital, due to the uncertainty of Capital Programme Expenditure from 2027/28 onwards, whilst a number of capital related strategies are evolving . e.g. the Estate Strategy as previously referenced.</w:t>
            </w:r>
          </w:p>
          <w:p w14:paraId="6E696A71" w14:textId="4D950C5F" w:rsidR="00853D45" w:rsidRPr="00F81C7D" w:rsidRDefault="00E503C8" w:rsidP="00853D45">
            <w:pPr>
              <w:pStyle w:val="ListParagraph"/>
              <w:numPr>
                <w:ilvl w:val="0"/>
                <w:numId w:val="16"/>
              </w:numPr>
              <w:autoSpaceDE w:val="0"/>
              <w:autoSpaceDN w:val="0"/>
              <w:jc w:val="both"/>
              <w:rPr>
                <w:rFonts w:ascii="Arial" w:hAnsi="Arial" w:cs="Arial"/>
              </w:rPr>
            </w:pPr>
            <w:r w:rsidRPr="00F81C7D">
              <w:rPr>
                <w:rFonts w:ascii="Arial" w:hAnsi="Arial" w:cs="Arial"/>
              </w:rPr>
              <w:t xml:space="preserve">Planned Utilisation – </w:t>
            </w:r>
            <w:r w:rsidR="00853D45" w:rsidRPr="00F81C7D">
              <w:rPr>
                <w:rFonts w:ascii="Arial" w:hAnsi="Arial" w:cs="Arial"/>
              </w:rPr>
              <w:t xml:space="preserve">This committed fund will be used to fund the requirements of the overall </w:t>
            </w:r>
            <w:r w:rsidR="00853D45">
              <w:rPr>
                <w:rFonts w:ascii="Arial" w:hAnsi="Arial" w:cs="Arial"/>
              </w:rPr>
              <w:t xml:space="preserve">future </w:t>
            </w:r>
            <w:r w:rsidR="00853D45" w:rsidRPr="00F81C7D">
              <w:rPr>
                <w:rFonts w:ascii="Arial" w:hAnsi="Arial" w:cs="Arial"/>
              </w:rPr>
              <w:t>Capital Programme</w:t>
            </w:r>
            <w:r w:rsidR="00853D45">
              <w:rPr>
                <w:rFonts w:ascii="Arial" w:hAnsi="Arial" w:cs="Arial"/>
              </w:rPr>
              <w:t xml:space="preserve"> as it becomes clearer</w:t>
            </w:r>
            <w:r w:rsidR="00853D45" w:rsidRPr="00F81C7D">
              <w:rPr>
                <w:rFonts w:ascii="Arial" w:hAnsi="Arial" w:cs="Arial"/>
              </w:rPr>
              <w:t>.</w:t>
            </w:r>
          </w:p>
          <w:p w14:paraId="4C805492" w14:textId="5D2573CD" w:rsidR="00E503C8" w:rsidRDefault="00E503C8" w:rsidP="007079E9">
            <w:pPr>
              <w:pStyle w:val="ListParagraph"/>
              <w:autoSpaceDE w:val="0"/>
              <w:autoSpaceDN w:val="0"/>
              <w:jc w:val="both"/>
              <w:rPr>
                <w:rFonts w:ascii="Arial" w:hAnsi="Arial" w:cs="Arial"/>
                <w:u w:val="single"/>
              </w:rPr>
            </w:pPr>
          </w:p>
          <w:p w14:paraId="57216B20" w14:textId="3D345AF9" w:rsidR="00D1219A" w:rsidRPr="00F81C7D" w:rsidRDefault="00882396" w:rsidP="007079E9">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 xml:space="preserve">Estate Works - </w:t>
            </w:r>
            <w:r w:rsidR="00D1219A" w:rsidRPr="00F81C7D">
              <w:rPr>
                <w:rFonts w:ascii="Arial" w:hAnsi="Arial" w:cs="Arial"/>
                <w:u w:val="single"/>
              </w:rPr>
              <w:t xml:space="preserve">Replacement </w:t>
            </w:r>
            <w:r w:rsidR="00C32D96" w:rsidRPr="00F81C7D">
              <w:rPr>
                <w:rFonts w:ascii="Arial" w:hAnsi="Arial" w:cs="Arial"/>
                <w:u w:val="single"/>
              </w:rPr>
              <w:t>Headquarters (</w:t>
            </w:r>
            <w:r w:rsidR="00D1219A" w:rsidRPr="00F81C7D">
              <w:rPr>
                <w:rFonts w:ascii="Arial" w:hAnsi="Arial" w:cs="Arial"/>
                <w:u w:val="single"/>
              </w:rPr>
              <w:t>HQ</w:t>
            </w:r>
            <w:r w:rsidR="00C32D96" w:rsidRPr="00F81C7D">
              <w:rPr>
                <w:rFonts w:ascii="Arial" w:hAnsi="Arial" w:cs="Arial"/>
                <w:u w:val="single"/>
              </w:rPr>
              <w:t>)</w:t>
            </w:r>
            <w:r w:rsidR="00D1219A" w:rsidRPr="00F81C7D">
              <w:rPr>
                <w:rFonts w:ascii="Arial" w:hAnsi="Arial" w:cs="Arial"/>
                <w:u w:val="single"/>
              </w:rPr>
              <w:t xml:space="preserve"> - (Line B</w:t>
            </w:r>
            <w:r w:rsidR="00EF54D8">
              <w:rPr>
                <w:rFonts w:ascii="Arial" w:hAnsi="Arial" w:cs="Arial"/>
                <w:u w:val="single"/>
              </w:rPr>
              <w:t>1</w:t>
            </w:r>
            <w:r w:rsidR="00853D45">
              <w:rPr>
                <w:rFonts w:ascii="Arial" w:hAnsi="Arial" w:cs="Arial"/>
                <w:u w:val="single"/>
              </w:rPr>
              <w:t>g</w:t>
            </w:r>
            <w:r w:rsidR="00D1219A" w:rsidRPr="00F81C7D">
              <w:rPr>
                <w:rFonts w:ascii="Arial" w:hAnsi="Arial" w:cs="Arial"/>
                <w:u w:val="single"/>
              </w:rPr>
              <w:t>i)</w:t>
            </w:r>
          </w:p>
          <w:p w14:paraId="4326D330" w14:textId="77777777" w:rsidR="00236675" w:rsidRDefault="00236675" w:rsidP="007079E9">
            <w:pPr>
              <w:pStyle w:val="ListParagraph"/>
              <w:autoSpaceDE w:val="0"/>
              <w:autoSpaceDN w:val="0"/>
              <w:jc w:val="both"/>
              <w:rPr>
                <w:rFonts w:ascii="Arial" w:hAnsi="Arial" w:cs="Arial"/>
              </w:rPr>
            </w:pPr>
          </w:p>
          <w:p w14:paraId="7827E793" w14:textId="3DFAC511" w:rsidR="00D1219A" w:rsidRPr="00F81C7D" w:rsidRDefault="00D1219A" w:rsidP="007079E9">
            <w:pPr>
              <w:pStyle w:val="ListParagraph"/>
              <w:numPr>
                <w:ilvl w:val="0"/>
                <w:numId w:val="35"/>
              </w:numPr>
              <w:autoSpaceDE w:val="0"/>
              <w:autoSpaceDN w:val="0"/>
              <w:jc w:val="both"/>
              <w:rPr>
                <w:rFonts w:ascii="Arial" w:hAnsi="Arial" w:cs="Arial"/>
              </w:rPr>
            </w:pPr>
            <w:r w:rsidRPr="00F81C7D">
              <w:rPr>
                <w:rFonts w:ascii="Arial" w:hAnsi="Arial" w:cs="Arial"/>
              </w:rPr>
              <w:t xml:space="preserve">Purpose – The </w:t>
            </w:r>
            <w:r w:rsidR="00DA6F70">
              <w:rPr>
                <w:rFonts w:ascii="Arial" w:hAnsi="Arial" w:cs="Arial"/>
              </w:rPr>
              <w:t>previous</w:t>
            </w:r>
            <w:r w:rsidRPr="00F81C7D">
              <w:rPr>
                <w:rFonts w:ascii="Arial" w:hAnsi="Arial" w:cs="Arial"/>
              </w:rPr>
              <w:t xml:space="preserve"> HQ</w:t>
            </w:r>
            <w:r w:rsidR="00DA6F70">
              <w:rPr>
                <w:rFonts w:ascii="Arial" w:hAnsi="Arial" w:cs="Arial"/>
              </w:rPr>
              <w:t xml:space="preserve">, at </w:t>
            </w:r>
            <w:r w:rsidR="00C32D96" w:rsidRPr="00F81C7D">
              <w:rPr>
                <w:rFonts w:ascii="Arial" w:hAnsi="Arial" w:cs="Arial"/>
              </w:rPr>
              <w:t>nearly 5</w:t>
            </w:r>
            <w:r w:rsidRPr="00F81C7D">
              <w:rPr>
                <w:rFonts w:ascii="Arial" w:hAnsi="Arial" w:cs="Arial"/>
              </w:rPr>
              <w:t>0 years old present</w:t>
            </w:r>
            <w:r w:rsidR="00DA6F70">
              <w:rPr>
                <w:rFonts w:ascii="Arial" w:hAnsi="Arial" w:cs="Arial"/>
              </w:rPr>
              <w:t>ed</w:t>
            </w:r>
            <w:r w:rsidRPr="00F81C7D">
              <w:rPr>
                <w:rFonts w:ascii="Arial" w:hAnsi="Arial" w:cs="Arial"/>
              </w:rPr>
              <w:t xml:space="preserve"> itself as uneconomical to maintain/renovate and also </w:t>
            </w:r>
            <w:r w:rsidR="003E5D52" w:rsidRPr="00F81C7D">
              <w:rPr>
                <w:rFonts w:ascii="Arial" w:hAnsi="Arial" w:cs="Arial"/>
              </w:rPr>
              <w:t>expensive</w:t>
            </w:r>
            <w:r w:rsidRPr="00F81C7D">
              <w:rPr>
                <w:rFonts w:ascii="Arial" w:hAnsi="Arial" w:cs="Arial"/>
              </w:rPr>
              <w:t xml:space="preserve"> to run when compared to more modern buildings.  This </w:t>
            </w:r>
            <w:r w:rsidR="00891D20" w:rsidRPr="00F81C7D">
              <w:rPr>
                <w:rFonts w:ascii="Arial" w:hAnsi="Arial" w:cs="Arial"/>
              </w:rPr>
              <w:t>committed fund</w:t>
            </w:r>
            <w:r w:rsidRPr="00F81C7D">
              <w:rPr>
                <w:rFonts w:ascii="Arial" w:hAnsi="Arial" w:cs="Arial"/>
              </w:rPr>
              <w:t xml:space="preserve"> has therefore been created to provide for the full costs associated with transitioning to a new HQ.</w:t>
            </w:r>
          </w:p>
          <w:p w14:paraId="2DEBE006" w14:textId="7930243C" w:rsidR="00D1219A" w:rsidRPr="00F81C7D" w:rsidRDefault="00D1219A" w:rsidP="007079E9">
            <w:pPr>
              <w:pStyle w:val="ListParagraph"/>
              <w:numPr>
                <w:ilvl w:val="0"/>
                <w:numId w:val="35"/>
              </w:numPr>
              <w:autoSpaceDE w:val="0"/>
              <w:autoSpaceDN w:val="0"/>
              <w:jc w:val="both"/>
              <w:rPr>
                <w:rFonts w:ascii="Arial" w:hAnsi="Arial" w:cs="Arial"/>
              </w:rPr>
            </w:pPr>
            <w:r w:rsidRPr="00F81C7D">
              <w:rPr>
                <w:rFonts w:ascii="Arial" w:hAnsi="Arial" w:cs="Arial"/>
              </w:rPr>
              <w:t xml:space="preserve">Planned Utilisation – This </w:t>
            </w:r>
            <w:r w:rsidR="00891D20" w:rsidRPr="00F81C7D">
              <w:rPr>
                <w:rFonts w:ascii="Arial" w:hAnsi="Arial" w:cs="Arial"/>
              </w:rPr>
              <w:t>committed fund</w:t>
            </w:r>
            <w:r w:rsidRPr="00F81C7D">
              <w:rPr>
                <w:rFonts w:ascii="Arial" w:hAnsi="Arial" w:cs="Arial"/>
              </w:rPr>
              <w:t xml:space="preserve"> </w:t>
            </w:r>
            <w:r w:rsidR="004B47B7">
              <w:rPr>
                <w:rFonts w:ascii="Arial" w:hAnsi="Arial" w:cs="Arial"/>
              </w:rPr>
              <w:t>was</w:t>
            </w:r>
            <w:r w:rsidRPr="00F81C7D">
              <w:rPr>
                <w:rFonts w:ascii="Arial" w:hAnsi="Arial" w:cs="Arial"/>
              </w:rPr>
              <w:t xml:space="preserve"> </w:t>
            </w:r>
            <w:r w:rsidR="00753980" w:rsidRPr="00F81C7D">
              <w:rPr>
                <w:rFonts w:ascii="Arial" w:hAnsi="Arial" w:cs="Arial"/>
              </w:rPr>
              <w:t xml:space="preserve">fully utilised </w:t>
            </w:r>
            <w:r w:rsidR="00032528">
              <w:rPr>
                <w:rFonts w:ascii="Arial" w:hAnsi="Arial" w:cs="Arial"/>
              </w:rPr>
              <w:t xml:space="preserve">by the end of </w:t>
            </w:r>
            <w:r w:rsidR="00753980" w:rsidRPr="00F81C7D">
              <w:rPr>
                <w:rFonts w:ascii="Arial" w:hAnsi="Arial" w:cs="Arial"/>
              </w:rPr>
              <w:t xml:space="preserve">the </w:t>
            </w:r>
            <w:r w:rsidR="00032528">
              <w:rPr>
                <w:rFonts w:ascii="Arial" w:hAnsi="Arial" w:cs="Arial"/>
              </w:rPr>
              <w:t xml:space="preserve">2021/22 financial year in line with the budget for the new HQ.  </w:t>
            </w:r>
            <w:r w:rsidR="00032528">
              <w:rPr>
                <w:rFonts w:ascii="Arial" w:hAnsi="Arial" w:cs="Arial"/>
              </w:rPr>
              <w:lastRenderedPageBreak/>
              <w:t>The remaining costs that fall wit</w:t>
            </w:r>
            <w:r w:rsidR="00A906C8">
              <w:rPr>
                <w:rFonts w:ascii="Arial" w:hAnsi="Arial" w:cs="Arial"/>
              </w:rPr>
              <w:t>h</w:t>
            </w:r>
            <w:r w:rsidR="00032528">
              <w:rPr>
                <w:rFonts w:ascii="Arial" w:hAnsi="Arial" w:cs="Arial"/>
              </w:rPr>
              <w:t>in the 202</w:t>
            </w:r>
            <w:r w:rsidR="00853D45">
              <w:rPr>
                <w:rFonts w:ascii="Arial" w:hAnsi="Arial" w:cs="Arial"/>
              </w:rPr>
              <w:t>4</w:t>
            </w:r>
            <w:r w:rsidR="00032528">
              <w:rPr>
                <w:rFonts w:ascii="Arial" w:hAnsi="Arial" w:cs="Arial"/>
              </w:rPr>
              <w:t>/2</w:t>
            </w:r>
            <w:r w:rsidR="00853D45">
              <w:rPr>
                <w:rFonts w:ascii="Arial" w:hAnsi="Arial" w:cs="Arial"/>
              </w:rPr>
              <w:t>5</w:t>
            </w:r>
            <w:r w:rsidR="00032528">
              <w:rPr>
                <w:rFonts w:ascii="Arial" w:hAnsi="Arial" w:cs="Arial"/>
              </w:rPr>
              <w:t xml:space="preserve"> financi</w:t>
            </w:r>
            <w:r w:rsidR="00A906C8">
              <w:rPr>
                <w:rFonts w:ascii="Arial" w:hAnsi="Arial" w:cs="Arial"/>
              </w:rPr>
              <w:t>a</w:t>
            </w:r>
            <w:r w:rsidR="00032528">
              <w:rPr>
                <w:rFonts w:ascii="Arial" w:hAnsi="Arial" w:cs="Arial"/>
              </w:rPr>
              <w:t>l year will be treated the same as those s</w:t>
            </w:r>
            <w:r w:rsidR="00A906C8">
              <w:rPr>
                <w:rFonts w:ascii="Arial" w:hAnsi="Arial" w:cs="Arial"/>
              </w:rPr>
              <w:t>c</w:t>
            </w:r>
            <w:r w:rsidR="00032528">
              <w:rPr>
                <w:rFonts w:ascii="Arial" w:hAnsi="Arial" w:cs="Arial"/>
              </w:rPr>
              <w:t>h</w:t>
            </w:r>
            <w:r w:rsidR="00A906C8">
              <w:rPr>
                <w:rFonts w:ascii="Arial" w:hAnsi="Arial" w:cs="Arial"/>
              </w:rPr>
              <w:t>e</w:t>
            </w:r>
            <w:r w:rsidR="00032528">
              <w:rPr>
                <w:rFonts w:ascii="Arial" w:hAnsi="Arial" w:cs="Arial"/>
              </w:rPr>
              <w:t>mes expl</w:t>
            </w:r>
            <w:r w:rsidR="00A906C8">
              <w:rPr>
                <w:rFonts w:ascii="Arial" w:hAnsi="Arial" w:cs="Arial"/>
              </w:rPr>
              <w:t>a</w:t>
            </w:r>
            <w:r w:rsidR="00032528">
              <w:rPr>
                <w:rFonts w:ascii="Arial" w:hAnsi="Arial" w:cs="Arial"/>
              </w:rPr>
              <w:t>ine</w:t>
            </w:r>
            <w:r w:rsidR="00A906C8">
              <w:rPr>
                <w:rFonts w:ascii="Arial" w:hAnsi="Arial" w:cs="Arial"/>
              </w:rPr>
              <w:t>d</w:t>
            </w:r>
            <w:r w:rsidR="00032528">
              <w:rPr>
                <w:rFonts w:ascii="Arial" w:hAnsi="Arial" w:cs="Arial"/>
              </w:rPr>
              <w:t xml:space="preserve"> in </w:t>
            </w:r>
            <w:r w:rsidR="00A906C8">
              <w:rPr>
                <w:rFonts w:ascii="Arial" w:hAnsi="Arial" w:cs="Arial"/>
              </w:rPr>
              <w:t>paragraph</w:t>
            </w:r>
            <w:r w:rsidR="00032528">
              <w:rPr>
                <w:rFonts w:ascii="Arial" w:hAnsi="Arial" w:cs="Arial"/>
              </w:rPr>
              <w:t xml:space="preserve"> </w:t>
            </w:r>
            <w:r w:rsidR="00A906C8">
              <w:rPr>
                <w:rFonts w:ascii="Arial" w:hAnsi="Arial" w:cs="Arial"/>
              </w:rPr>
              <w:t xml:space="preserve">4.11 h) </w:t>
            </w:r>
            <w:r w:rsidR="00032528">
              <w:rPr>
                <w:rFonts w:ascii="Arial" w:hAnsi="Arial" w:cs="Arial"/>
              </w:rPr>
              <w:t>below</w:t>
            </w:r>
            <w:r w:rsidRPr="00F81C7D">
              <w:rPr>
                <w:rFonts w:ascii="Arial" w:hAnsi="Arial" w:cs="Arial"/>
              </w:rPr>
              <w:t>.</w:t>
            </w:r>
            <w:r w:rsidR="008200F6" w:rsidRPr="00F81C7D">
              <w:rPr>
                <w:rFonts w:ascii="Arial" w:hAnsi="Arial" w:cs="Arial"/>
              </w:rPr>
              <w:t xml:space="preserve">  </w:t>
            </w:r>
          </w:p>
          <w:p w14:paraId="77CEC5FB" w14:textId="77777777" w:rsidR="00753980" w:rsidRPr="00F81C7D" w:rsidRDefault="00753980" w:rsidP="007079E9">
            <w:pPr>
              <w:pStyle w:val="ListParagraph"/>
              <w:autoSpaceDE w:val="0"/>
              <w:autoSpaceDN w:val="0"/>
              <w:jc w:val="both"/>
              <w:rPr>
                <w:rFonts w:ascii="Arial" w:hAnsi="Arial" w:cs="Arial"/>
              </w:rPr>
            </w:pPr>
          </w:p>
          <w:p w14:paraId="528E2458" w14:textId="6F13798B" w:rsidR="00E946AA" w:rsidRPr="000A2380" w:rsidRDefault="00882396" w:rsidP="007079E9">
            <w:pPr>
              <w:pStyle w:val="ListParagraph"/>
              <w:numPr>
                <w:ilvl w:val="0"/>
                <w:numId w:val="30"/>
              </w:numPr>
              <w:autoSpaceDE w:val="0"/>
              <w:autoSpaceDN w:val="0"/>
              <w:jc w:val="both"/>
              <w:rPr>
                <w:rFonts w:ascii="Arial" w:hAnsi="Arial" w:cs="Arial"/>
                <w:u w:val="single"/>
              </w:rPr>
            </w:pPr>
            <w:r w:rsidRPr="000A2380">
              <w:rPr>
                <w:rFonts w:ascii="Arial" w:hAnsi="Arial" w:cs="Arial"/>
                <w:u w:val="single"/>
              </w:rPr>
              <w:t xml:space="preserve">Estate Works - </w:t>
            </w:r>
            <w:r w:rsidR="00E946AA" w:rsidRPr="000A2380">
              <w:rPr>
                <w:rFonts w:ascii="Arial" w:hAnsi="Arial" w:cs="Arial"/>
                <w:u w:val="single"/>
              </w:rPr>
              <w:t xml:space="preserve"> Minor Works and Planned Maintenance through to </w:t>
            </w:r>
            <w:r w:rsidR="008122FC" w:rsidRPr="000A2380">
              <w:rPr>
                <w:rFonts w:ascii="Arial" w:hAnsi="Arial" w:cs="Arial"/>
                <w:u w:val="single"/>
              </w:rPr>
              <w:t>ESN</w:t>
            </w:r>
            <w:r w:rsidR="004D285E" w:rsidRPr="000A2380">
              <w:rPr>
                <w:rFonts w:ascii="Arial" w:hAnsi="Arial" w:cs="Arial"/>
                <w:u w:val="single"/>
              </w:rPr>
              <w:t xml:space="preserve"> - (Lines B</w:t>
            </w:r>
            <w:r w:rsidR="008122FC" w:rsidRPr="000A2380">
              <w:rPr>
                <w:rFonts w:ascii="Arial" w:hAnsi="Arial" w:cs="Arial"/>
                <w:u w:val="single"/>
              </w:rPr>
              <w:t>1f</w:t>
            </w:r>
            <w:r w:rsidR="00891D20" w:rsidRPr="000A2380">
              <w:rPr>
                <w:rFonts w:ascii="Arial" w:hAnsi="Arial" w:cs="Arial"/>
                <w:u w:val="single"/>
              </w:rPr>
              <w:t>ii to B</w:t>
            </w:r>
            <w:r w:rsidR="008122FC" w:rsidRPr="000A2380">
              <w:rPr>
                <w:rFonts w:ascii="Arial" w:hAnsi="Arial" w:cs="Arial"/>
                <w:u w:val="single"/>
              </w:rPr>
              <w:t>1</w:t>
            </w:r>
            <w:r w:rsidR="00853D45">
              <w:rPr>
                <w:rFonts w:ascii="Arial" w:hAnsi="Arial" w:cs="Arial"/>
                <w:u w:val="single"/>
              </w:rPr>
              <w:t>l</w:t>
            </w:r>
            <w:r w:rsidR="00E946AA" w:rsidRPr="000A2380">
              <w:rPr>
                <w:rFonts w:ascii="Arial" w:hAnsi="Arial" w:cs="Arial"/>
                <w:u w:val="single"/>
              </w:rPr>
              <w:t>)</w:t>
            </w:r>
          </w:p>
          <w:p w14:paraId="32152F0B" w14:textId="77777777" w:rsidR="00E946AA" w:rsidRPr="00094F0C" w:rsidRDefault="00E946AA" w:rsidP="007079E9">
            <w:pPr>
              <w:pStyle w:val="ListParagraph"/>
              <w:ind w:left="0"/>
              <w:rPr>
                <w:rFonts w:ascii="Arial" w:hAnsi="Arial" w:cs="Arial"/>
                <w:highlight w:val="yellow"/>
              </w:rPr>
            </w:pPr>
          </w:p>
          <w:p w14:paraId="71BA8220" w14:textId="77777777" w:rsidR="00E946AA" w:rsidRPr="000A2380" w:rsidRDefault="00E946AA" w:rsidP="007079E9">
            <w:pPr>
              <w:pStyle w:val="ListParagraph"/>
              <w:numPr>
                <w:ilvl w:val="0"/>
                <w:numId w:val="18"/>
              </w:numPr>
              <w:autoSpaceDE w:val="0"/>
              <w:autoSpaceDN w:val="0"/>
              <w:jc w:val="both"/>
              <w:rPr>
                <w:rFonts w:ascii="Arial" w:hAnsi="Arial" w:cs="Arial"/>
              </w:rPr>
            </w:pPr>
            <w:r w:rsidRPr="000A2380">
              <w:rPr>
                <w:rFonts w:ascii="Arial" w:hAnsi="Arial" w:cs="Arial"/>
              </w:rPr>
              <w:t xml:space="preserve">Purpose – Members will note that no actual </w:t>
            </w:r>
            <w:r w:rsidR="00891D20" w:rsidRPr="000A2380">
              <w:rPr>
                <w:rFonts w:ascii="Arial" w:hAnsi="Arial" w:cs="Arial"/>
              </w:rPr>
              <w:t>committed funds</w:t>
            </w:r>
            <w:r w:rsidRPr="000A2380">
              <w:rPr>
                <w:rFonts w:ascii="Arial" w:hAnsi="Arial" w:cs="Arial"/>
              </w:rPr>
              <w:t xml:space="preserve"> have been created to fund the remaining aspects of the Commissioner’s Capital Programme</w:t>
            </w:r>
            <w:r w:rsidR="004C6E1C" w:rsidRPr="000A2380">
              <w:rPr>
                <w:rFonts w:ascii="Arial" w:hAnsi="Arial" w:cs="Arial"/>
              </w:rPr>
              <w:t xml:space="preserve"> in relation to</w:t>
            </w:r>
            <w:r w:rsidRPr="000A2380">
              <w:rPr>
                <w:rFonts w:ascii="Arial" w:hAnsi="Arial" w:cs="Arial"/>
              </w:rPr>
              <w:t xml:space="preserve">:  </w:t>
            </w:r>
          </w:p>
          <w:p w14:paraId="1B1EEA42"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 xml:space="preserve">Estate Works </w:t>
            </w:r>
            <w:r w:rsidR="00F20D59" w:rsidRPr="000A2380">
              <w:rPr>
                <w:rFonts w:ascii="Arial" w:hAnsi="Arial" w:cs="Arial"/>
              </w:rPr>
              <w:t>–</w:t>
            </w:r>
            <w:r w:rsidRPr="000A2380">
              <w:rPr>
                <w:rFonts w:ascii="Arial" w:hAnsi="Arial" w:cs="Arial"/>
              </w:rPr>
              <w:t xml:space="preserve"> Minor Works and Planned Maintenance</w:t>
            </w:r>
            <w:r w:rsidR="00956F91" w:rsidRPr="000A2380">
              <w:rPr>
                <w:rFonts w:ascii="Arial" w:hAnsi="Arial" w:cs="Arial"/>
              </w:rPr>
              <w:t>;</w:t>
            </w:r>
          </w:p>
          <w:p w14:paraId="0C0D975C" w14:textId="77777777" w:rsidR="0007414D" w:rsidRPr="000A2380" w:rsidRDefault="0007414D" w:rsidP="007079E9">
            <w:pPr>
              <w:pStyle w:val="ListParagraph"/>
              <w:numPr>
                <w:ilvl w:val="1"/>
                <w:numId w:val="18"/>
              </w:numPr>
              <w:autoSpaceDE w:val="0"/>
              <w:autoSpaceDN w:val="0"/>
              <w:jc w:val="both"/>
              <w:rPr>
                <w:rFonts w:ascii="Arial" w:hAnsi="Arial" w:cs="Arial"/>
              </w:rPr>
            </w:pPr>
            <w:r w:rsidRPr="000A2380">
              <w:rPr>
                <w:rFonts w:ascii="Arial" w:hAnsi="Arial" w:cs="Arial"/>
              </w:rPr>
              <w:t>Estate Works – Police Hubs and Spokes</w:t>
            </w:r>
            <w:r w:rsidR="00956F91" w:rsidRPr="000A2380">
              <w:rPr>
                <w:rFonts w:ascii="Arial" w:hAnsi="Arial" w:cs="Arial"/>
              </w:rPr>
              <w:t>;</w:t>
            </w:r>
          </w:p>
          <w:p w14:paraId="00744C70" w14:textId="77777777" w:rsidR="00E946AA"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Estate Works – Other</w:t>
            </w:r>
            <w:r w:rsidR="00956F91" w:rsidRPr="000A2380">
              <w:rPr>
                <w:rFonts w:ascii="Arial" w:hAnsi="Arial" w:cs="Arial"/>
              </w:rPr>
              <w:t>;</w:t>
            </w:r>
          </w:p>
          <w:p w14:paraId="5A631FF2" w14:textId="411898A5" w:rsidR="00853D45" w:rsidRPr="000A2380" w:rsidRDefault="00853D45" w:rsidP="007079E9">
            <w:pPr>
              <w:pStyle w:val="ListParagraph"/>
              <w:numPr>
                <w:ilvl w:val="1"/>
                <w:numId w:val="18"/>
              </w:numPr>
              <w:autoSpaceDE w:val="0"/>
              <w:autoSpaceDN w:val="0"/>
              <w:jc w:val="both"/>
              <w:rPr>
                <w:rFonts w:ascii="Arial" w:hAnsi="Arial" w:cs="Arial"/>
              </w:rPr>
            </w:pPr>
            <w:r>
              <w:rPr>
                <w:rFonts w:ascii="Arial" w:hAnsi="Arial" w:cs="Arial"/>
              </w:rPr>
              <w:t>Collaborative JFU Range;</w:t>
            </w:r>
          </w:p>
          <w:p w14:paraId="08A51804"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Fleet Replacement</w:t>
            </w:r>
            <w:r w:rsidR="00956F91" w:rsidRPr="000A2380">
              <w:rPr>
                <w:rFonts w:ascii="Arial" w:hAnsi="Arial" w:cs="Arial"/>
              </w:rPr>
              <w:t>;</w:t>
            </w:r>
          </w:p>
          <w:p w14:paraId="40971531" w14:textId="77777777"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ICT Investment</w:t>
            </w:r>
            <w:r w:rsidR="00956F91" w:rsidRPr="000A2380">
              <w:rPr>
                <w:rFonts w:ascii="Arial" w:hAnsi="Arial" w:cs="Arial"/>
              </w:rPr>
              <w:t>;</w:t>
            </w:r>
          </w:p>
          <w:p w14:paraId="7F14BF91" w14:textId="43C8F883" w:rsidR="00E946AA" w:rsidRPr="000A2380" w:rsidRDefault="00E946AA" w:rsidP="007079E9">
            <w:pPr>
              <w:pStyle w:val="ListParagraph"/>
              <w:numPr>
                <w:ilvl w:val="1"/>
                <w:numId w:val="18"/>
              </w:numPr>
              <w:autoSpaceDE w:val="0"/>
              <w:autoSpaceDN w:val="0"/>
              <w:jc w:val="both"/>
              <w:rPr>
                <w:rFonts w:ascii="Arial" w:hAnsi="Arial" w:cs="Arial"/>
              </w:rPr>
            </w:pPr>
            <w:r w:rsidRPr="000A2380">
              <w:rPr>
                <w:rFonts w:ascii="Arial" w:hAnsi="Arial" w:cs="Arial"/>
              </w:rPr>
              <w:t>Other Projects/Schemes</w:t>
            </w:r>
            <w:r w:rsidR="00956F91" w:rsidRPr="000A2380">
              <w:rPr>
                <w:rFonts w:ascii="Arial" w:hAnsi="Arial" w:cs="Arial"/>
              </w:rPr>
              <w:t xml:space="preserve">; </w:t>
            </w:r>
          </w:p>
          <w:p w14:paraId="5A062033" w14:textId="48411F68" w:rsidR="008A45BE" w:rsidRPr="000A2380" w:rsidRDefault="008A45BE" w:rsidP="007079E9">
            <w:pPr>
              <w:pStyle w:val="ListParagraph"/>
              <w:numPr>
                <w:ilvl w:val="1"/>
                <w:numId w:val="18"/>
              </w:numPr>
              <w:autoSpaceDE w:val="0"/>
              <w:autoSpaceDN w:val="0"/>
              <w:jc w:val="both"/>
              <w:rPr>
                <w:rFonts w:ascii="Arial" w:hAnsi="Arial" w:cs="Arial"/>
              </w:rPr>
            </w:pPr>
            <w:r w:rsidRPr="000A2380">
              <w:rPr>
                <w:rFonts w:ascii="Arial" w:hAnsi="Arial" w:cs="Arial"/>
              </w:rPr>
              <w:t>Long Term Projects</w:t>
            </w:r>
            <w:r w:rsidR="00A906C8" w:rsidRPr="000A2380">
              <w:rPr>
                <w:rFonts w:ascii="Arial" w:hAnsi="Arial" w:cs="Arial"/>
              </w:rPr>
              <w:t>;</w:t>
            </w:r>
            <w:r w:rsidR="00F549AB" w:rsidRPr="000A2380">
              <w:rPr>
                <w:rFonts w:ascii="Arial" w:hAnsi="Arial" w:cs="Arial"/>
              </w:rPr>
              <w:t xml:space="preserve"> and</w:t>
            </w:r>
          </w:p>
          <w:p w14:paraId="2516F383" w14:textId="055EBA44" w:rsidR="00A906C8" w:rsidRPr="000A2380" w:rsidRDefault="00A906C8" w:rsidP="007079E9">
            <w:pPr>
              <w:pStyle w:val="ListParagraph"/>
              <w:numPr>
                <w:ilvl w:val="1"/>
                <w:numId w:val="18"/>
              </w:numPr>
              <w:autoSpaceDE w:val="0"/>
              <w:autoSpaceDN w:val="0"/>
              <w:jc w:val="both"/>
              <w:rPr>
                <w:rFonts w:ascii="Arial" w:hAnsi="Arial" w:cs="Arial"/>
              </w:rPr>
            </w:pPr>
            <w:r w:rsidRPr="000A2380">
              <w:rPr>
                <w:rFonts w:ascii="Arial" w:hAnsi="Arial" w:cs="Arial"/>
              </w:rPr>
              <w:t>ESN</w:t>
            </w:r>
            <w:r w:rsidR="00F549AB" w:rsidRPr="000A2380">
              <w:rPr>
                <w:rFonts w:ascii="Arial" w:hAnsi="Arial" w:cs="Arial"/>
              </w:rPr>
              <w:t>.</w:t>
            </w:r>
          </w:p>
          <w:p w14:paraId="380E2E8D" w14:textId="07D976EB" w:rsidR="002636CA" w:rsidRPr="000A2380" w:rsidRDefault="00E946AA" w:rsidP="007079E9">
            <w:pPr>
              <w:pStyle w:val="ListParagraph"/>
              <w:numPr>
                <w:ilvl w:val="0"/>
                <w:numId w:val="18"/>
              </w:numPr>
              <w:autoSpaceDE w:val="0"/>
              <w:autoSpaceDN w:val="0"/>
              <w:jc w:val="both"/>
              <w:rPr>
                <w:rFonts w:ascii="Arial" w:hAnsi="Arial" w:cs="Arial"/>
              </w:rPr>
            </w:pPr>
            <w:r w:rsidRPr="000A2380">
              <w:rPr>
                <w:rFonts w:ascii="Arial" w:hAnsi="Arial" w:cs="Arial"/>
              </w:rPr>
              <w:t xml:space="preserve">Planned Utilisation – </w:t>
            </w:r>
            <w:r w:rsidR="0059743D" w:rsidRPr="000A2380">
              <w:rPr>
                <w:rFonts w:ascii="Arial" w:hAnsi="Arial" w:cs="Arial"/>
              </w:rPr>
              <w:t>Members will further note that o</w:t>
            </w:r>
            <w:r w:rsidR="004C6E1C" w:rsidRPr="000A2380">
              <w:rPr>
                <w:rFonts w:ascii="Arial" w:hAnsi="Arial" w:cs="Arial"/>
              </w:rPr>
              <w:t xml:space="preserve">nly the expenditure is shown </w:t>
            </w:r>
            <w:r w:rsidR="0059743D" w:rsidRPr="000A2380">
              <w:rPr>
                <w:rFonts w:ascii="Arial" w:hAnsi="Arial" w:cs="Arial"/>
              </w:rPr>
              <w:t xml:space="preserve">for each year, </w:t>
            </w:r>
            <w:r w:rsidR="004C6E1C" w:rsidRPr="000A2380">
              <w:rPr>
                <w:rFonts w:ascii="Arial" w:hAnsi="Arial" w:cs="Arial"/>
              </w:rPr>
              <w:t>which mirrors the above capital requirements between 20</w:t>
            </w:r>
            <w:r w:rsidR="00C64CCD" w:rsidRPr="000A2380">
              <w:rPr>
                <w:rFonts w:ascii="Arial" w:hAnsi="Arial" w:cs="Arial"/>
              </w:rPr>
              <w:t>2</w:t>
            </w:r>
            <w:r w:rsidR="00853D45">
              <w:rPr>
                <w:rFonts w:ascii="Arial" w:hAnsi="Arial" w:cs="Arial"/>
              </w:rPr>
              <w:t>4</w:t>
            </w:r>
            <w:r w:rsidR="004C6E1C" w:rsidRPr="000A2380">
              <w:rPr>
                <w:rFonts w:ascii="Arial" w:hAnsi="Arial" w:cs="Arial"/>
              </w:rPr>
              <w:t>/</w:t>
            </w:r>
            <w:r w:rsidR="00F20D59" w:rsidRPr="000A2380">
              <w:rPr>
                <w:rFonts w:ascii="Arial" w:hAnsi="Arial" w:cs="Arial"/>
              </w:rPr>
              <w:t>2</w:t>
            </w:r>
            <w:r w:rsidR="00853D45">
              <w:rPr>
                <w:rFonts w:ascii="Arial" w:hAnsi="Arial" w:cs="Arial"/>
              </w:rPr>
              <w:t>5</w:t>
            </w:r>
            <w:r w:rsidR="004C6E1C" w:rsidRPr="000A2380">
              <w:rPr>
                <w:rFonts w:ascii="Arial" w:hAnsi="Arial" w:cs="Arial"/>
              </w:rPr>
              <w:t xml:space="preserve"> and 20</w:t>
            </w:r>
            <w:r w:rsidR="002636CA" w:rsidRPr="000A2380">
              <w:rPr>
                <w:rFonts w:ascii="Arial" w:hAnsi="Arial" w:cs="Arial"/>
              </w:rPr>
              <w:t>2</w:t>
            </w:r>
            <w:r w:rsidR="00853D45">
              <w:rPr>
                <w:rFonts w:ascii="Arial" w:hAnsi="Arial" w:cs="Arial"/>
              </w:rPr>
              <w:t>9</w:t>
            </w:r>
            <w:r w:rsidR="00011ACF" w:rsidRPr="000A2380">
              <w:rPr>
                <w:rFonts w:ascii="Arial" w:hAnsi="Arial" w:cs="Arial"/>
              </w:rPr>
              <w:t>/</w:t>
            </w:r>
            <w:r w:rsidR="00853D45">
              <w:rPr>
                <w:rFonts w:ascii="Arial" w:hAnsi="Arial" w:cs="Arial"/>
              </w:rPr>
              <w:t>30</w:t>
            </w:r>
            <w:r w:rsidR="004C6E1C" w:rsidRPr="000A2380">
              <w:rPr>
                <w:rFonts w:ascii="Arial" w:hAnsi="Arial" w:cs="Arial"/>
              </w:rPr>
              <w:t>.</w:t>
            </w:r>
            <w:r w:rsidR="0059743D" w:rsidRPr="000A2380">
              <w:rPr>
                <w:rFonts w:ascii="Arial" w:hAnsi="Arial" w:cs="Arial"/>
              </w:rPr>
              <w:t xml:space="preserve">  </w:t>
            </w:r>
            <w:r w:rsidR="002636CA" w:rsidRPr="000A2380">
              <w:rPr>
                <w:rFonts w:ascii="Arial" w:hAnsi="Arial" w:cs="Arial"/>
              </w:rPr>
              <w:t>L</w:t>
            </w:r>
            <w:r w:rsidR="004D285E" w:rsidRPr="000A2380">
              <w:rPr>
                <w:rFonts w:ascii="Arial" w:hAnsi="Arial" w:cs="Arial"/>
              </w:rPr>
              <w:t>ines B</w:t>
            </w:r>
            <w:r w:rsidR="008122FC" w:rsidRPr="000A2380">
              <w:rPr>
                <w:rFonts w:ascii="Arial" w:hAnsi="Arial" w:cs="Arial"/>
              </w:rPr>
              <w:t>1</w:t>
            </w:r>
            <w:r w:rsidR="004D285E" w:rsidRPr="000A2380">
              <w:rPr>
                <w:rFonts w:ascii="Arial" w:hAnsi="Arial" w:cs="Arial"/>
              </w:rPr>
              <w:t>a (Capital Grant), B</w:t>
            </w:r>
            <w:r w:rsidR="008122FC" w:rsidRPr="000A2380">
              <w:rPr>
                <w:rFonts w:ascii="Arial" w:hAnsi="Arial" w:cs="Arial"/>
              </w:rPr>
              <w:t>1</w:t>
            </w:r>
            <w:r w:rsidR="004D285E" w:rsidRPr="000A2380">
              <w:rPr>
                <w:rFonts w:ascii="Arial" w:hAnsi="Arial" w:cs="Arial"/>
              </w:rPr>
              <w:t>b (C</w:t>
            </w:r>
            <w:r w:rsidR="0059743D" w:rsidRPr="000A2380">
              <w:rPr>
                <w:rFonts w:ascii="Arial" w:hAnsi="Arial" w:cs="Arial"/>
              </w:rPr>
              <w:t>apital Receipts)</w:t>
            </w:r>
            <w:r w:rsidR="002636CA" w:rsidRPr="000A2380">
              <w:rPr>
                <w:rFonts w:ascii="Arial" w:hAnsi="Arial" w:cs="Arial"/>
              </w:rPr>
              <w:t xml:space="preserve">, </w:t>
            </w:r>
            <w:r w:rsidR="004D285E" w:rsidRPr="000A2380">
              <w:rPr>
                <w:rFonts w:ascii="Arial" w:hAnsi="Arial" w:cs="Arial"/>
              </w:rPr>
              <w:t>B</w:t>
            </w:r>
            <w:r w:rsidR="008122FC" w:rsidRPr="000A2380">
              <w:rPr>
                <w:rFonts w:ascii="Arial" w:hAnsi="Arial" w:cs="Arial"/>
              </w:rPr>
              <w:t>1</w:t>
            </w:r>
            <w:r w:rsidR="004D285E" w:rsidRPr="000A2380">
              <w:rPr>
                <w:rFonts w:ascii="Arial" w:hAnsi="Arial" w:cs="Arial"/>
              </w:rPr>
              <w:t>c (Revenue Contribution to Capital Programme)</w:t>
            </w:r>
            <w:r w:rsidR="002636CA" w:rsidRPr="000A2380">
              <w:rPr>
                <w:rFonts w:ascii="Arial" w:hAnsi="Arial" w:cs="Arial"/>
              </w:rPr>
              <w:t xml:space="preserve">, </w:t>
            </w:r>
            <w:r w:rsidR="0007414D" w:rsidRPr="000A2380">
              <w:rPr>
                <w:rFonts w:ascii="Arial" w:hAnsi="Arial" w:cs="Arial"/>
              </w:rPr>
              <w:t>B</w:t>
            </w:r>
            <w:r w:rsidR="008122FC" w:rsidRPr="000A2380">
              <w:rPr>
                <w:rFonts w:ascii="Arial" w:hAnsi="Arial" w:cs="Arial"/>
              </w:rPr>
              <w:t>1</w:t>
            </w:r>
            <w:r w:rsidR="0007414D" w:rsidRPr="000A2380">
              <w:rPr>
                <w:rFonts w:ascii="Arial" w:hAnsi="Arial" w:cs="Arial"/>
              </w:rPr>
              <w:t xml:space="preserve">d (External Borrowing) and </w:t>
            </w:r>
            <w:r w:rsidR="008122FC" w:rsidRPr="000A2380">
              <w:rPr>
                <w:rFonts w:ascii="Arial" w:hAnsi="Arial" w:cs="Arial"/>
              </w:rPr>
              <w:t>B1e (ESN/</w:t>
            </w:r>
            <w:r w:rsidR="00344304">
              <w:rPr>
                <w:rFonts w:ascii="Arial" w:hAnsi="Arial" w:cs="Arial"/>
              </w:rPr>
              <w:t>Reserve Recycling</w:t>
            </w:r>
            <w:r w:rsidR="008122FC" w:rsidRPr="000A2380">
              <w:rPr>
                <w:rFonts w:ascii="Arial" w:hAnsi="Arial" w:cs="Arial"/>
              </w:rPr>
              <w:t>)</w:t>
            </w:r>
            <w:r w:rsidR="0007414D" w:rsidRPr="000A2380">
              <w:rPr>
                <w:rFonts w:ascii="Arial" w:hAnsi="Arial" w:cs="Arial"/>
              </w:rPr>
              <w:t xml:space="preserve"> </w:t>
            </w:r>
            <w:r w:rsidR="0059743D" w:rsidRPr="000A2380">
              <w:rPr>
                <w:rFonts w:ascii="Arial" w:hAnsi="Arial" w:cs="Arial"/>
              </w:rPr>
              <w:t>will be used in their entirety to fund these requirements</w:t>
            </w:r>
            <w:r w:rsidR="002636CA" w:rsidRPr="000A2380">
              <w:rPr>
                <w:rFonts w:ascii="Arial" w:hAnsi="Arial" w:cs="Arial"/>
              </w:rPr>
              <w:t>.  Historically</w:t>
            </w:r>
            <w:r w:rsidR="0059743D" w:rsidRPr="000A2380">
              <w:rPr>
                <w:rFonts w:ascii="Arial" w:hAnsi="Arial" w:cs="Arial"/>
              </w:rPr>
              <w:t xml:space="preserve">, </w:t>
            </w:r>
            <w:r w:rsidR="002636CA" w:rsidRPr="000A2380">
              <w:rPr>
                <w:rFonts w:ascii="Arial" w:hAnsi="Arial" w:cs="Arial"/>
              </w:rPr>
              <w:t xml:space="preserve">with </w:t>
            </w:r>
            <w:r w:rsidR="004C6E1C" w:rsidRPr="000A2380">
              <w:rPr>
                <w:rFonts w:ascii="Arial" w:hAnsi="Arial" w:cs="Arial"/>
              </w:rPr>
              <w:t xml:space="preserve">insufficient </w:t>
            </w:r>
            <w:r w:rsidR="0059743D" w:rsidRPr="000A2380">
              <w:rPr>
                <w:rFonts w:ascii="Arial" w:hAnsi="Arial" w:cs="Arial"/>
              </w:rPr>
              <w:t xml:space="preserve">further </w:t>
            </w:r>
            <w:r w:rsidR="004C6E1C" w:rsidRPr="000A2380">
              <w:rPr>
                <w:rFonts w:ascii="Arial" w:hAnsi="Arial" w:cs="Arial"/>
              </w:rPr>
              <w:t xml:space="preserve">reserves </w:t>
            </w:r>
            <w:r w:rsidR="00891D20" w:rsidRPr="000A2380">
              <w:rPr>
                <w:rFonts w:ascii="Arial" w:hAnsi="Arial" w:cs="Arial"/>
              </w:rPr>
              <w:t xml:space="preserve">and committed funds </w:t>
            </w:r>
            <w:r w:rsidR="002636CA" w:rsidRPr="000A2380">
              <w:rPr>
                <w:rFonts w:ascii="Arial" w:hAnsi="Arial" w:cs="Arial"/>
              </w:rPr>
              <w:t xml:space="preserve">available </w:t>
            </w:r>
            <w:r w:rsidR="004C6E1C" w:rsidRPr="000A2380">
              <w:rPr>
                <w:rFonts w:ascii="Arial" w:hAnsi="Arial" w:cs="Arial"/>
              </w:rPr>
              <w:t xml:space="preserve">in totality to fund </w:t>
            </w:r>
            <w:r w:rsidR="0059743D" w:rsidRPr="000A2380">
              <w:rPr>
                <w:rFonts w:ascii="Arial" w:hAnsi="Arial" w:cs="Arial"/>
              </w:rPr>
              <w:t>these requirements</w:t>
            </w:r>
            <w:r w:rsidR="002636CA" w:rsidRPr="000A2380">
              <w:rPr>
                <w:rFonts w:ascii="Arial" w:hAnsi="Arial" w:cs="Arial"/>
              </w:rPr>
              <w:t>, the position highlighted</w:t>
            </w:r>
            <w:r w:rsidR="0059743D" w:rsidRPr="000A2380">
              <w:rPr>
                <w:rFonts w:ascii="Arial" w:hAnsi="Arial" w:cs="Arial"/>
              </w:rPr>
              <w:t xml:space="preserve"> that a </w:t>
            </w:r>
            <w:r w:rsidR="002636CA" w:rsidRPr="000A2380">
              <w:rPr>
                <w:rFonts w:ascii="Arial" w:hAnsi="Arial" w:cs="Arial"/>
              </w:rPr>
              <w:t>degree of ‘internal borrowing’ wa</w:t>
            </w:r>
            <w:r w:rsidR="0059743D" w:rsidRPr="000A2380">
              <w:rPr>
                <w:rFonts w:ascii="Arial" w:hAnsi="Arial" w:cs="Arial"/>
              </w:rPr>
              <w:t xml:space="preserve">s required to fund the overall current </w:t>
            </w:r>
            <w:r w:rsidR="00A906C8" w:rsidRPr="000A2380">
              <w:rPr>
                <w:rFonts w:ascii="Arial" w:hAnsi="Arial" w:cs="Arial"/>
              </w:rPr>
              <w:t>C</w:t>
            </w:r>
            <w:r w:rsidR="0059743D" w:rsidRPr="000A2380">
              <w:rPr>
                <w:rFonts w:ascii="Arial" w:hAnsi="Arial" w:cs="Arial"/>
              </w:rPr>
              <w:t xml:space="preserve">apital </w:t>
            </w:r>
            <w:r w:rsidR="00A906C8" w:rsidRPr="000A2380">
              <w:rPr>
                <w:rFonts w:ascii="Arial" w:hAnsi="Arial" w:cs="Arial"/>
              </w:rPr>
              <w:t>P</w:t>
            </w:r>
            <w:r w:rsidR="0059743D" w:rsidRPr="000A2380">
              <w:rPr>
                <w:rFonts w:ascii="Arial" w:hAnsi="Arial" w:cs="Arial"/>
              </w:rPr>
              <w:t>rogramme.  In essence, the Commissioner w</w:t>
            </w:r>
            <w:r w:rsidR="002636CA" w:rsidRPr="000A2380">
              <w:rPr>
                <w:rFonts w:ascii="Arial" w:hAnsi="Arial" w:cs="Arial"/>
              </w:rPr>
              <w:t>ould</w:t>
            </w:r>
            <w:r w:rsidR="0059743D" w:rsidRPr="000A2380">
              <w:rPr>
                <w:rFonts w:ascii="Arial" w:hAnsi="Arial" w:cs="Arial"/>
              </w:rPr>
              <w:t xml:space="preserve"> internally borrow from certain reserves</w:t>
            </w:r>
            <w:r w:rsidR="00891D20" w:rsidRPr="000A2380">
              <w:rPr>
                <w:rFonts w:ascii="Arial" w:hAnsi="Arial" w:cs="Arial"/>
              </w:rPr>
              <w:t xml:space="preserve"> and committed funds</w:t>
            </w:r>
            <w:r w:rsidR="0059743D" w:rsidRPr="000A2380">
              <w:rPr>
                <w:rFonts w:ascii="Arial" w:hAnsi="Arial" w:cs="Arial"/>
              </w:rPr>
              <w:t xml:space="preserve"> (such as the</w:t>
            </w:r>
            <w:r w:rsidR="00344304">
              <w:rPr>
                <w:rFonts w:ascii="Arial" w:hAnsi="Arial" w:cs="Arial"/>
              </w:rPr>
              <w:t xml:space="preserve"> </w:t>
            </w:r>
            <w:r w:rsidR="002636CA" w:rsidRPr="000A2380">
              <w:rPr>
                <w:rFonts w:ascii="Arial" w:hAnsi="Arial" w:cs="Arial"/>
              </w:rPr>
              <w:t>Future</w:t>
            </w:r>
            <w:r w:rsidR="0083175C" w:rsidRPr="000A2380">
              <w:rPr>
                <w:rFonts w:ascii="Arial" w:hAnsi="Arial" w:cs="Arial"/>
              </w:rPr>
              <w:t xml:space="preserve"> Budgetary Imbalance</w:t>
            </w:r>
            <w:r w:rsidR="00F20D59" w:rsidRPr="000A2380">
              <w:rPr>
                <w:rFonts w:ascii="Arial" w:hAnsi="Arial" w:cs="Arial"/>
              </w:rPr>
              <w:t>s</w:t>
            </w:r>
            <w:r w:rsidR="0083175C" w:rsidRPr="000A2380">
              <w:rPr>
                <w:rFonts w:ascii="Arial" w:hAnsi="Arial" w:cs="Arial"/>
              </w:rPr>
              <w:t xml:space="preserve"> </w:t>
            </w:r>
            <w:r w:rsidR="00344304">
              <w:rPr>
                <w:rFonts w:ascii="Arial" w:hAnsi="Arial" w:cs="Arial"/>
              </w:rPr>
              <w:t xml:space="preserve">or Airwave </w:t>
            </w:r>
            <w:r w:rsidR="0083175C" w:rsidRPr="000A2380">
              <w:rPr>
                <w:rFonts w:ascii="Arial" w:hAnsi="Arial" w:cs="Arial"/>
              </w:rPr>
              <w:t>Committed Fund</w:t>
            </w:r>
            <w:r w:rsidR="00344304">
              <w:rPr>
                <w:rFonts w:ascii="Arial" w:hAnsi="Arial" w:cs="Arial"/>
              </w:rPr>
              <w:t>s</w:t>
            </w:r>
            <w:r w:rsidR="00891D20" w:rsidRPr="000A2380">
              <w:rPr>
                <w:rFonts w:ascii="Arial" w:hAnsi="Arial" w:cs="Arial"/>
              </w:rPr>
              <w:t>) to fund the Capital Pr</w:t>
            </w:r>
            <w:r w:rsidR="0059743D" w:rsidRPr="000A2380">
              <w:rPr>
                <w:rFonts w:ascii="Arial" w:hAnsi="Arial" w:cs="Arial"/>
              </w:rPr>
              <w:t>ogramme and thereby, in the short term, avoid external borrowing.</w:t>
            </w:r>
            <w:r w:rsidR="0083175C" w:rsidRPr="000A2380">
              <w:rPr>
                <w:rFonts w:ascii="Arial" w:hAnsi="Arial" w:cs="Arial"/>
              </w:rPr>
              <w:t xml:space="preserve">  However, in order to create the underlying tru</w:t>
            </w:r>
            <w:r w:rsidR="0007414D" w:rsidRPr="000A2380">
              <w:rPr>
                <w:rFonts w:ascii="Arial" w:hAnsi="Arial" w:cs="Arial"/>
              </w:rPr>
              <w:t>e</w:t>
            </w:r>
            <w:r w:rsidR="0083175C" w:rsidRPr="000A2380">
              <w:rPr>
                <w:rFonts w:ascii="Arial" w:hAnsi="Arial" w:cs="Arial"/>
              </w:rPr>
              <w:t xml:space="preserve"> and transparent position of the Commissioner’s </w:t>
            </w:r>
            <w:r w:rsidR="00F20D59" w:rsidRPr="000A2380">
              <w:rPr>
                <w:rFonts w:ascii="Arial" w:hAnsi="Arial" w:cs="Arial"/>
              </w:rPr>
              <w:t>r</w:t>
            </w:r>
            <w:r w:rsidR="0083175C" w:rsidRPr="000A2380">
              <w:rPr>
                <w:rFonts w:ascii="Arial" w:hAnsi="Arial" w:cs="Arial"/>
              </w:rPr>
              <w:t>eserves and committed funds, the external borrowing requirement to 202</w:t>
            </w:r>
            <w:r w:rsidR="00344304">
              <w:rPr>
                <w:rFonts w:ascii="Arial" w:hAnsi="Arial" w:cs="Arial"/>
              </w:rPr>
              <w:t>9</w:t>
            </w:r>
            <w:r w:rsidR="0083175C" w:rsidRPr="000A2380">
              <w:rPr>
                <w:rFonts w:ascii="Arial" w:hAnsi="Arial" w:cs="Arial"/>
              </w:rPr>
              <w:t>/</w:t>
            </w:r>
            <w:r w:rsidR="00344304">
              <w:rPr>
                <w:rFonts w:ascii="Arial" w:hAnsi="Arial" w:cs="Arial"/>
              </w:rPr>
              <w:t>30</w:t>
            </w:r>
            <w:r w:rsidR="0083175C" w:rsidRPr="000A2380">
              <w:rPr>
                <w:rFonts w:ascii="Arial" w:hAnsi="Arial" w:cs="Arial"/>
              </w:rPr>
              <w:t xml:space="preserve"> </w:t>
            </w:r>
            <w:r w:rsidR="00344304">
              <w:rPr>
                <w:rFonts w:ascii="Arial" w:hAnsi="Arial" w:cs="Arial"/>
              </w:rPr>
              <w:t>continues to be</w:t>
            </w:r>
            <w:r w:rsidR="0083175C" w:rsidRPr="000A2380">
              <w:rPr>
                <w:rFonts w:ascii="Arial" w:hAnsi="Arial" w:cs="Arial"/>
              </w:rPr>
              <w:t xml:space="preserve"> factored into this Strategy.</w:t>
            </w:r>
          </w:p>
          <w:p w14:paraId="48C4E26D" w14:textId="77777777" w:rsidR="009F5AAA" w:rsidRPr="00F81C7D" w:rsidRDefault="009F5AAA" w:rsidP="009F5AAA">
            <w:pPr>
              <w:pStyle w:val="ListParagraph"/>
              <w:autoSpaceDE w:val="0"/>
              <w:autoSpaceDN w:val="0"/>
              <w:jc w:val="both"/>
              <w:rPr>
                <w:rFonts w:ascii="Arial" w:hAnsi="Arial" w:cs="Arial"/>
              </w:rPr>
            </w:pPr>
          </w:p>
          <w:p w14:paraId="442F3DBF" w14:textId="77777777" w:rsidR="009F5AAA" w:rsidRPr="00F81C7D" w:rsidRDefault="009F5AAA" w:rsidP="009F5AAA">
            <w:pPr>
              <w:pStyle w:val="ListParagraph"/>
              <w:numPr>
                <w:ilvl w:val="0"/>
                <w:numId w:val="30"/>
              </w:numPr>
              <w:autoSpaceDE w:val="0"/>
              <w:autoSpaceDN w:val="0"/>
              <w:jc w:val="both"/>
              <w:rPr>
                <w:rFonts w:ascii="Arial" w:hAnsi="Arial" w:cs="Arial"/>
                <w:u w:val="single"/>
              </w:rPr>
            </w:pPr>
            <w:r w:rsidRPr="00F81C7D">
              <w:rPr>
                <w:rFonts w:ascii="Arial" w:hAnsi="Arial" w:cs="Arial"/>
                <w:u w:val="single"/>
              </w:rPr>
              <w:t>Forecast Accelerated Efficiency Savings - (Line B</w:t>
            </w:r>
            <w:r>
              <w:rPr>
                <w:rFonts w:ascii="Arial" w:hAnsi="Arial" w:cs="Arial"/>
                <w:u w:val="single"/>
              </w:rPr>
              <w:t>2</w:t>
            </w:r>
            <w:r w:rsidRPr="00F81C7D">
              <w:rPr>
                <w:rFonts w:ascii="Arial" w:hAnsi="Arial" w:cs="Arial"/>
                <w:u w:val="single"/>
              </w:rPr>
              <w:t>)</w:t>
            </w:r>
          </w:p>
          <w:p w14:paraId="6360B388" w14:textId="77777777" w:rsidR="009F5AAA" w:rsidRPr="00F81C7D" w:rsidRDefault="009F5AAA" w:rsidP="009F5AAA">
            <w:pPr>
              <w:pStyle w:val="ListParagraph"/>
              <w:ind w:left="0"/>
              <w:rPr>
                <w:rFonts w:ascii="Arial" w:hAnsi="Arial" w:cs="Arial"/>
              </w:rPr>
            </w:pPr>
          </w:p>
          <w:p w14:paraId="0FD45EDF" w14:textId="77777777" w:rsidR="009F5AAA" w:rsidRPr="00F81C7D" w:rsidRDefault="009F5AAA" w:rsidP="009F5AAA">
            <w:pPr>
              <w:pStyle w:val="ListParagraph"/>
              <w:numPr>
                <w:ilvl w:val="0"/>
                <w:numId w:val="21"/>
              </w:numPr>
              <w:autoSpaceDE w:val="0"/>
              <w:autoSpaceDN w:val="0"/>
              <w:jc w:val="both"/>
              <w:rPr>
                <w:rFonts w:ascii="Arial" w:hAnsi="Arial" w:cs="Arial"/>
              </w:rPr>
            </w:pPr>
            <w:r w:rsidRPr="00F81C7D">
              <w:rPr>
                <w:rFonts w:ascii="Arial" w:hAnsi="Arial" w:cs="Arial"/>
              </w:rPr>
              <w:t xml:space="preserve">Purpose – As well as the depletion of reserves and committed funds, the Commissioner’s Reserves and Committed Funds Strategy also identifies potential sources of reserve and committed fund creation.  In this instance, the primary source is from the in-year surplus generated from the acceleration of efficiency schemes in a particular financial year.  Estimates are made on previous experience balanced against the potential for accelerated efficiencies in the future.  These forecast reserves remain uncommitted </w:t>
            </w:r>
            <w:proofErr w:type="gramStart"/>
            <w:r w:rsidRPr="00F81C7D">
              <w:rPr>
                <w:rFonts w:ascii="Arial" w:hAnsi="Arial" w:cs="Arial"/>
              </w:rPr>
              <w:t>initially, but</w:t>
            </w:r>
            <w:proofErr w:type="gramEnd"/>
            <w:r w:rsidRPr="00F81C7D">
              <w:rPr>
                <w:rFonts w:ascii="Arial" w:hAnsi="Arial" w:cs="Arial"/>
              </w:rPr>
              <w:t xml:space="preserve"> will become committed as the amount crystallises and is matched against future liabilities.    </w:t>
            </w:r>
          </w:p>
          <w:p w14:paraId="61484B28" w14:textId="328E4CC7" w:rsidR="009F5AAA" w:rsidRPr="00F81C7D" w:rsidRDefault="009F5AAA" w:rsidP="009F5AAA">
            <w:pPr>
              <w:pStyle w:val="ListParagraph"/>
              <w:numPr>
                <w:ilvl w:val="0"/>
                <w:numId w:val="21"/>
              </w:numPr>
              <w:autoSpaceDE w:val="0"/>
              <w:autoSpaceDN w:val="0"/>
              <w:jc w:val="both"/>
              <w:rPr>
                <w:rFonts w:ascii="Arial" w:hAnsi="Arial" w:cs="Arial"/>
              </w:rPr>
            </w:pPr>
            <w:r w:rsidRPr="00F81C7D">
              <w:rPr>
                <w:rFonts w:ascii="Arial" w:hAnsi="Arial" w:cs="Arial"/>
              </w:rPr>
              <w:t>Planned Utilisation – The future estimates of this reserve (as it builds up) are assumed (due to their uncertainty) to contribute to the overall reserve and committed fund’s position and fund the requirements to deliver the future Capital Programme.</w:t>
            </w:r>
            <w:r>
              <w:rPr>
                <w:rFonts w:ascii="Arial" w:hAnsi="Arial" w:cs="Arial"/>
              </w:rPr>
              <w:t xml:space="preserve">  Members will note that this </w:t>
            </w:r>
            <w:r>
              <w:rPr>
                <w:rFonts w:ascii="Arial" w:hAnsi="Arial" w:cs="Arial"/>
              </w:rPr>
              <w:lastRenderedPageBreak/>
              <w:t xml:space="preserve">reserve </w:t>
            </w:r>
            <w:r w:rsidR="008C45DE">
              <w:rPr>
                <w:rFonts w:ascii="Arial" w:hAnsi="Arial" w:cs="Arial"/>
              </w:rPr>
              <w:t>wa</w:t>
            </w:r>
            <w:r>
              <w:rPr>
                <w:rFonts w:ascii="Arial" w:hAnsi="Arial" w:cs="Arial"/>
              </w:rPr>
              <w:t>s fully depleted during</w:t>
            </w:r>
            <w:r w:rsidR="008C45DE">
              <w:rPr>
                <w:rFonts w:ascii="Arial" w:hAnsi="Arial" w:cs="Arial"/>
              </w:rPr>
              <w:t xml:space="preserve"> the</w:t>
            </w:r>
            <w:r>
              <w:rPr>
                <w:rFonts w:ascii="Arial" w:hAnsi="Arial" w:cs="Arial"/>
              </w:rPr>
              <w:t xml:space="preserve"> 2021/22 </w:t>
            </w:r>
            <w:r w:rsidR="008C45DE">
              <w:rPr>
                <w:rFonts w:ascii="Arial" w:hAnsi="Arial" w:cs="Arial"/>
              </w:rPr>
              <w:t xml:space="preserve">financial year </w:t>
            </w:r>
            <w:r>
              <w:rPr>
                <w:rFonts w:ascii="Arial" w:hAnsi="Arial" w:cs="Arial"/>
              </w:rPr>
              <w:t>to contribute to the overall Capital Programme.  No in-year addition is shown</w:t>
            </w:r>
            <w:r w:rsidR="008C45DE">
              <w:rPr>
                <w:rFonts w:ascii="Arial" w:hAnsi="Arial" w:cs="Arial"/>
              </w:rPr>
              <w:t xml:space="preserve"> for 2024/25</w:t>
            </w:r>
            <w:r>
              <w:rPr>
                <w:rFonts w:ascii="Arial" w:hAnsi="Arial" w:cs="Arial"/>
              </w:rPr>
              <w:t>, which is not to say that there isn’t a surplus being generated during 202</w:t>
            </w:r>
            <w:r w:rsidR="008C45DE">
              <w:rPr>
                <w:rFonts w:ascii="Arial" w:hAnsi="Arial" w:cs="Arial"/>
              </w:rPr>
              <w:t>4</w:t>
            </w:r>
            <w:r>
              <w:rPr>
                <w:rFonts w:ascii="Arial" w:hAnsi="Arial" w:cs="Arial"/>
              </w:rPr>
              <w:t>/2</w:t>
            </w:r>
            <w:r w:rsidR="008C45DE">
              <w:rPr>
                <w:rFonts w:ascii="Arial" w:hAnsi="Arial" w:cs="Arial"/>
              </w:rPr>
              <w:t>5</w:t>
            </w:r>
            <w:r>
              <w:rPr>
                <w:rFonts w:ascii="Arial" w:hAnsi="Arial" w:cs="Arial"/>
              </w:rPr>
              <w:t xml:space="preserve">, rather, the surplus being generated is not by virtue of accelerated efficiency savings, but being generated by the </w:t>
            </w:r>
            <w:r w:rsidR="008C45DE">
              <w:rPr>
                <w:rFonts w:ascii="Arial" w:hAnsi="Arial" w:cs="Arial"/>
              </w:rPr>
              <w:t>additional investment income due to rises in interest rates and savings in capital charges (interest payments) due to the deferment of external borrowing</w:t>
            </w:r>
            <w:r>
              <w:rPr>
                <w:rFonts w:ascii="Arial" w:hAnsi="Arial" w:cs="Arial"/>
              </w:rPr>
              <w:t>.  The 202</w:t>
            </w:r>
            <w:r w:rsidR="008C45DE">
              <w:rPr>
                <w:rFonts w:ascii="Arial" w:hAnsi="Arial" w:cs="Arial"/>
              </w:rPr>
              <w:t>4</w:t>
            </w:r>
            <w:r>
              <w:rPr>
                <w:rFonts w:ascii="Arial" w:hAnsi="Arial" w:cs="Arial"/>
              </w:rPr>
              <w:t>/2</w:t>
            </w:r>
            <w:r w:rsidR="008C45DE">
              <w:rPr>
                <w:rFonts w:ascii="Arial" w:hAnsi="Arial" w:cs="Arial"/>
              </w:rPr>
              <w:t>5</w:t>
            </w:r>
            <w:r>
              <w:rPr>
                <w:rFonts w:ascii="Arial" w:hAnsi="Arial" w:cs="Arial"/>
              </w:rPr>
              <w:t xml:space="preserve"> forecast revenue surplus </w:t>
            </w:r>
            <w:r w:rsidR="00E31B5F">
              <w:rPr>
                <w:rFonts w:ascii="Arial" w:hAnsi="Arial" w:cs="Arial"/>
              </w:rPr>
              <w:t>(</w:t>
            </w:r>
            <w:r w:rsidR="008C45DE">
              <w:rPr>
                <w:rFonts w:ascii="Arial" w:hAnsi="Arial" w:cs="Arial"/>
              </w:rPr>
              <w:t xml:space="preserve">£2.809m) </w:t>
            </w:r>
            <w:r>
              <w:rPr>
                <w:rFonts w:ascii="Arial" w:hAnsi="Arial" w:cs="Arial"/>
              </w:rPr>
              <w:t>is therefore utilised as a non-recurrent addition into the Revenue Contribution to Capital Programme (Line B1c).</w:t>
            </w:r>
          </w:p>
          <w:p w14:paraId="59AC79AE" w14:textId="77777777" w:rsidR="009F5AAA" w:rsidRDefault="009F5AAA" w:rsidP="007079E9">
            <w:pPr>
              <w:pStyle w:val="ListParagraph"/>
              <w:autoSpaceDE w:val="0"/>
              <w:autoSpaceDN w:val="0"/>
              <w:jc w:val="both"/>
              <w:rPr>
                <w:rFonts w:ascii="Arial" w:hAnsi="Arial" w:cs="Arial"/>
              </w:rPr>
            </w:pPr>
          </w:p>
          <w:p w14:paraId="7427E5A7" w14:textId="77777777" w:rsidR="00DE4AB1" w:rsidRPr="00F81C7D" w:rsidRDefault="00DE4AB1" w:rsidP="007079E9">
            <w:pPr>
              <w:pStyle w:val="ListParagraph"/>
              <w:autoSpaceDE w:val="0"/>
              <w:autoSpaceDN w:val="0"/>
              <w:ind w:left="0"/>
              <w:jc w:val="both"/>
              <w:rPr>
                <w:rFonts w:ascii="Arial" w:hAnsi="Arial" w:cs="Arial"/>
                <w:u w:val="single"/>
              </w:rPr>
            </w:pPr>
            <w:r w:rsidRPr="00F81C7D">
              <w:rPr>
                <w:rFonts w:ascii="Arial" w:hAnsi="Arial" w:cs="Arial"/>
                <w:u w:val="single"/>
              </w:rPr>
              <w:t>Revenue Committed Earmarked Funds – Utilised Beyond the Current MTFP</w:t>
            </w:r>
          </w:p>
          <w:p w14:paraId="39A21FAB" w14:textId="77777777" w:rsidR="00DE4AB1" w:rsidRPr="00F81C7D" w:rsidRDefault="00DE4AB1" w:rsidP="007079E9">
            <w:pPr>
              <w:pStyle w:val="ListParagraph"/>
              <w:autoSpaceDE w:val="0"/>
              <w:autoSpaceDN w:val="0"/>
              <w:jc w:val="both"/>
              <w:rPr>
                <w:rFonts w:ascii="Arial" w:hAnsi="Arial" w:cs="Arial"/>
              </w:rPr>
            </w:pPr>
          </w:p>
          <w:p w14:paraId="1BA5C175" w14:textId="77777777" w:rsidR="00A3522E" w:rsidRPr="00F81C7D" w:rsidRDefault="00A3522E"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Futur</w:t>
            </w:r>
            <w:r w:rsidR="00DE4AB1" w:rsidRPr="00F81C7D">
              <w:rPr>
                <w:rFonts w:ascii="Arial" w:hAnsi="Arial" w:cs="Arial"/>
                <w:u w:val="single"/>
              </w:rPr>
              <w:t>e Budgetary Imbalances - (Line C</w:t>
            </w:r>
            <w:r w:rsidRPr="00F81C7D">
              <w:rPr>
                <w:rFonts w:ascii="Arial" w:hAnsi="Arial" w:cs="Arial"/>
                <w:u w:val="single"/>
              </w:rPr>
              <w:t>1)</w:t>
            </w:r>
          </w:p>
          <w:p w14:paraId="40FB7348" w14:textId="77777777" w:rsidR="00A3522E" w:rsidRPr="00F81C7D" w:rsidRDefault="00A3522E" w:rsidP="007079E9">
            <w:pPr>
              <w:pStyle w:val="ListParagraph"/>
              <w:ind w:left="0"/>
              <w:rPr>
                <w:rFonts w:ascii="Arial" w:hAnsi="Arial" w:cs="Arial"/>
              </w:rPr>
            </w:pPr>
          </w:p>
          <w:p w14:paraId="09825977" w14:textId="5A2A05F9" w:rsidR="00A3522E" w:rsidRPr="00F81C7D" w:rsidRDefault="00A3522E" w:rsidP="007079E9">
            <w:pPr>
              <w:pStyle w:val="ListParagraph"/>
              <w:numPr>
                <w:ilvl w:val="0"/>
                <w:numId w:val="11"/>
              </w:numPr>
              <w:autoSpaceDE w:val="0"/>
              <w:autoSpaceDN w:val="0"/>
              <w:jc w:val="both"/>
              <w:rPr>
                <w:rFonts w:ascii="Arial" w:hAnsi="Arial" w:cs="Arial"/>
              </w:rPr>
            </w:pPr>
            <w:r w:rsidRPr="00F81C7D">
              <w:rPr>
                <w:rFonts w:ascii="Arial" w:hAnsi="Arial" w:cs="Arial"/>
              </w:rPr>
              <w:t>Purpose – This committed fund was established in 2015/16 to mitigate future financial deficits from 2016/17 and beyond</w:t>
            </w:r>
            <w:r w:rsidR="00956F91">
              <w:rPr>
                <w:rFonts w:ascii="Arial" w:hAnsi="Arial" w:cs="Arial"/>
              </w:rPr>
              <w:t>,</w:t>
            </w:r>
            <w:r w:rsidRPr="00F81C7D">
              <w:rPr>
                <w:rFonts w:ascii="Arial" w:hAnsi="Arial" w:cs="Arial"/>
              </w:rPr>
              <w:t xml:space="preserve"> in order to achieve a balanced budget.  The backdrop for its creation was that </w:t>
            </w:r>
            <w:r w:rsidR="009877AE" w:rsidRPr="00F81C7D">
              <w:rPr>
                <w:rFonts w:ascii="Arial" w:hAnsi="Arial" w:cs="Arial"/>
              </w:rPr>
              <w:t xml:space="preserve">up to the 2015 Autumn Statement, </w:t>
            </w:r>
            <w:r w:rsidRPr="00F81C7D">
              <w:rPr>
                <w:rFonts w:ascii="Arial" w:hAnsi="Arial" w:cs="Arial"/>
              </w:rPr>
              <w:t>policing was facing the potential of 7% cuts in Central Government Grant per annum</w:t>
            </w:r>
            <w:r w:rsidR="000844F9" w:rsidRPr="00F81C7D">
              <w:rPr>
                <w:rFonts w:ascii="Arial" w:hAnsi="Arial" w:cs="Arial"/>
              </w:rPr>
              <w:t xml:space="preserve">.  The 2015 Autumn Statement however </w:t>
            </w:r>
            <w:r w:rsidR="005C554B" w:rsidRPr="00F81C7D">
              <w:rPr>
                <w:rFonts w:ascii="Arial" w:hAnsi="Arial" w:cs="Arial"/>
              </w:rPr>
              <w:t xml:space="preserve">(and </w:t>
            </w:r>
            <w:r w:rsidR="00306977">
              <w:rPr>
                <w:rFonts w:ascii="Arial" w:hAnsi="Arial" w:cs="Arial"/>
              </w:rPr>
              <w:t>S</w:t>
            </w:r>
            <w:r w:rsidR="005C554B" w:rsidRPr="00F81C7D">
              <w:rPr>
                <w:rFonts w:ascii="Arial" w:hAnsi="Arial" w:cs="Arial"/>
              </w:rPr>
              <w:t>ettlements since)</w:t>
            </w:r>
            <w:r w:rsidR="000844F9" w:rsidRPr="00F81C7D">
              <w:rPr>
                <w:rFonts w:ascii="Arial" w:hAnsi="Arial" w:cs="Arial"/>
              </w:rPr>
              <w:t>,</w:t>
            </w:r>
            <w:r w:rsidRPr="00F81C7D">
              <w:rPr>
                <w:rFonts w:ascii="Arial" w:hAnsi="Arial" w:cs="Arial"/>
              </w:rPr>
              <w:t xml:space="preserve"> </w:t>
            </w:r>
            <w:r w:rsidR="000844F9" w:rsidRPr="00F81C7D">
              <w:rPr>
                <w:rFonts w:ascii="Arial" w:hAnsi="Arial" w:cs="Arial"/>
              </w:rPr>
              <w:t xml:space="preserve">reduced the anticipated </w:t>
            </w:r>
            <w:r w:rsidRPr="00F81C7D">
              <w:rPr>
                <w:rFonts w:ascii="Arial" w:hAnsi="Arial" w:cs="Arial"/>
              </w:rPr>
              <w:t xml:space="preserve">policing budget cuts. </w:t>
            </w:r>
          </w:p>
          <w:p w14:paraId="68AEE892" w14:textId="563E4B28" w:rsidR="000844F9" w:rsidRPr="00DA70AC" w:rsidRDefault="00A3522E" w:rsidP="007079E9">
            <w:pPr>
              <w:pStyle w:val="ListParagraph"/>
              <w:numPr>
                <w:ilvl w:val="0"/>
                <w:numId w:val="11"/>
              </w:numPr>
              <w:autoSpaceDE w:val="0"/>
              <w:autoSpaceDN w:val="0"/>
              <w:jc w:val="both"/>
              <w:rPr>
                <w:rFonts w:ascii="Arial" w:hAnsi="Arial" w:cs="Arial"/>
              </w:rPr>
            </w:pPr>
            <w:r w:rsidRPr="00F81C7D">
              <w:rPr>
                <w:rFonts w:ascii="Arial" w:hAnsi="Arial" w:cs="Arial"/>
              </w:rPr>
              <w:t xml:space="preserve">Planned Utilisation – The current MTFP highlights a financial recurrent deficit </w:t>
            </w:r>
            <w:r w:rsidR="005C554B" w:rsidRPr="00F81C7D">
              <w:rPr>
                <w:rFonts w:ascii="Arial" w:hAnsi="Arial" w:cs="Arial"/>
              </w:rPr>
              <w:t xml:space="preserve">prior to efficiencies </w:t>
            </w:r>
            <w:r w:rsidRPr="00B612E4">
              <w:rPr>
                <w:rFonts w:ascii="Arial" w:hAnsi="Arial" w:cs="Arial"/>
              </w:rPr>
              <w:t xml:space="preserve">of </w:t>
            </w:r>
            <w:r w:rsidRPr="00764BE1">
              <w:rPr>
                <w:rFonts w:ascii="Arial" w:hAnsi="Arial" w:cs="Arial"/>
              </w:rPr>
              <w:t>£</w:t>
            </w:r>
            <w:r w:rsidR="00764BE1" w:rsidRPr="00764BE1">
              <w:rPr>
                <w:rFonts w:ascii="Arial" w:hAnsi="Arial" w:cs="Arial"/>
              </w:rPr>
              <w:t>9.994</w:t>
            </w:r>
            <w:r w:rsidR="008C45DE" w:rsidRPr="00764BE1">
              <w:rPr>
                <w:rFonts w:ascii="Arial" w:hAnsi="Arial" w:cs="Arial"/>
              </w:rPr>
              <w:t>m</w:t>
            </w:r>
            <w:r w:rsidRPr="00B612E4">
              <w:rPr>
                <w:rFonts w:ascii="Arial" w:hAnsi="Arial" w:cs="Arial"/>
              </w:rPr>
              <w:t xml:space="preserve"> by 202</w:t>
            </w:r>
            <w:r w:rsidR="008C45DE">
              <w:rPr>
                <w:rFonts w:ascii="Arial" w:hAnsi="Arial" w:cs="Arial"/>
              </w:rPr>
              <w:t>9</w:t>
            </w:r>
            <w:r w:rsidRPr="00B612E4">
              <w:rPr>
                <w:rFonts w:ascii="Arial" w:hAnsi="Arial" w:cs="Arial"/>
              </w:rPr>
              <w:t>/</w:t>
            </w:r>
            <w:r w:rsidR="008C45DE">
              <w:rPr>
                <w:rFonts w:ascii="Arial" w:hAnsi="Arial" w:cs="Arial"/>
              </w:rPr>
              <w:t>30</w:t>
            </w:r>
            <w:r w:rsidR="005C554B" w:rsidRPr="00B612E4">
              <w:rPr>
                <w:rFonts w:ascii="Arial" w:hAnsi="Arial" w:cs="Arial"/>
              </w:rPr>
              <w:t>.  A</w:t>
            </w:r>
            <w:r w:rsidRPr="00B612E4">
              <w:rPr>
                <w:rFonts w:ascii="Arial" w:hAnsi="Arial" w:cs="Arial"/>
              </w:rPr>
              <w:t>fter taking into account known efficiency schemes and opportunities</w:t>
            </w:r>
            <w:r w:rsidR="005C554B" w:rsidRPr="00B612E4">
              <w:rPr>
                <w:rFonts w:ascii="Arial" w:hAnsi="Arial" w:cs="Arial"/>
              </w:rPr>
              <w:t xml:space="preserve"> (some of which </w:t>
            </w:r>
            <w:r w:rsidR="001063B3" w:rsidRPr="00B612E4">
              <w:rPr>
                <w:rFonts w:ascii="Arial" w:hAnsi="Arial" w:cs="Arial"/>
              </w:rPr>
              <w:t xml:space="preserve">will be very challenging to deliver from a practical perspective and also </w:t>
            </w:r>
            <w:r w:rsidR="001063B3" w:rsidRPr="00D20D82">
              <w:rPr>
                <w:rFonts w:ascii="Arial" w:hAnsi="Arial" w:cs="Arial"/>
              </w:rPr>
              <w:t>a public expectation viewpoint)</w:t>
            </w:r>
            <w:r w:rsidR="005C554B" w:rsidRPr="00D20D82">
              <w:rPr>
                <w:rFonts w:ascii="Arial" w:hAnsi="Arial" w:cs="Arial"/>
              </w:rPr>
              <w:t xml:space="preserve">, a </w:t>
            </w:r>
            <w:r w:rsidR="000844F9" w:rsidRPr="00D20D82">
              <w:rPr>
                <w:rFonts w:ascii="Arial" w:hAnsi="Arial" w:cs="Arial"/>
              </w:rPr>
              <w:t xml:space="preserve">deficit </w:t>
            </w:r>
            <w:r w:rsidR="005C554B" w:rsidRPr="00D20D82">
              <w:rPr>
                <w:rFonts w:ascii="Arial" w:hAnsi="Arial" w:cs="Arial"/>
              </w:rPr>
              <w:t>of</w:t>
            </w:r>
            <w:r w:rsidR="00764BE1" w:rsidRPr="00D20D82">
              <w:rPr>
                <w:rFonts w:ascii="Arial" w:hAnsi="Arial" w:cs="Arial"/>
              </w:rPr>
              <w:t xml:space="preserve"> £8.614</w:t>
            </w:r>
            <w:r w:rsidR="008C45DE" w:rsidRPr="00D20D82">
              <w:rPr>
                <w:rFonts w:ascii="Arial" w:hAnsi="Arial" w:cs="Arial"/>
              </w:rPr>
              <w:t>m</w:t>
            </w:r>
            <w:r w:rsidR="005C554B" w:rsidRPr="00D20D82">
              <w:rPr>
                <w:rFonts w:ascii="Arial" w:hAnsi="Arial" w:cs="Arial"/>
              </w:rPr>
              <w:t xml:space="preserve"> </w:t>
            </w:r>
            <w:r w:rsidR="000844F9" w:rsidRPr="00D20D82">
              <w:rPr>
                <w:rFonts w:ascii="Arial" w:hAnsi="Arial" w:cs="Arial"/>
              </w:rPr>
              <w:t>remains</w:t>
            </w:r>
            <w:r w:rsidR="001063B3" w:rsidRPr="00D20D82">
              <w:rPr>
                <w:rFonts w:ascii="Arial" w:hAnsi="Arial" w:cs="Arial"/>
              </w:rPr>
              <w:t>.</w:t>
            </w:r>
            <w:r w:rsidR="000844F9" w:rsidRPr="00D20D82">
              <w:rPr>
                <w:rFonts w:ascii="Arial" w:hAnsi="Arial" w:cs="Arial"/>
              </w:rPr>
              <w:t xml:space="preserve">  The deficit is </w:t>
            </w:r>
            <w:r w:rsidR="00D20D82" w:rsidRPr="00D20D82">
              <w:rPr>
                <w:rFonts w:ascii="Arial" w:hAnsi="Arial" w:cs="Arial"/>
              </w:rPr>
              <w:t xml:space="preserve">highly volatile due to the uncertainty of Government Grant prior to the </w:t>
            </w:r>
            <w:r w:rsidR="00DA70AC">
              <w:rPr>
                <w:rFonts w:ascii="Arial" w:hAnsi="Arial" w:cs="Arial"/>
              </w:rPr>
              <w:t xml:space="preserve">receipt of the </w:t>
            </w:r>
            <w:r w:rsidR="00D20D82" w:rsidRPr="00D20D82">
              <w:rPr>
                <w:rFonts w:ascii="Arial" w:hAnsi="Arial" w:cs="Arial"/>
              </w:rPr>
              <w:t xml:space="preserve">Provisional Settlement (December 2024), which itself will be announced prior to the findings of the one year SR (January 2025).  </w:t>
            </w:r>
            <w:r w:rsidR="000844F9" w:rsidRPr="00DA70AC">
              <w:rPr>
                <w:rFonts w:ascii="Arial" w:hAnsi="Arial" w:cs="Arial"/>
              </w:rPr>
              <w:t xml:space="preserve">Plugging the recurrent gaps non-recurrently on </w:t>
            </w:r>
            <w:r w:rsidR="00956F91" w:rsidRPr="00DA70AC">
              <w:rPr>
                <w:rFonts w:ascii="Arial" w:hAnsi="Arial" w:cs="Arial"/>
              </w:rPr>
              <w:t xml:space="preserve">an </w:t>
            </w:r>
            <w:r w:rsidR="000844F9" w:rsidRPr="00DA70AC">
              <w:rPr>
                <w:rFonts w:ascii="Arial" w:hAnsi="Arial" w:cs="Arial"/>
              </w:rPr>
              <w:t>annual basis up to 202</w:t>
            </w:r>
            <w:r w:rsidR="00D20D82" w:rsidRPr="00DA70AC">
              <w:rPr>
                <w:rFonts w:ascii="Arial" w:hAnsi="Arial" w:cs="Arial"/>
              </w:rPr>
              <w:t>9</w:t>
            </w:r>
            <w:r w:rsidR="000844F9" w:rsidRPr="00DA70AC">
              <w:rPr>
                <w:rFonts w:ascii="Arial" w:hAnsi="Arial" w:cs="Arial"/>
              </w:rPr>
              <w:t>/</w:t>
            </w:r>
            <w:r w:rsidR="00D20D82" w:rsidRPr="00DA70AC">
              <w:rPr>
                <w:rFonts w:ascii="Arial" w:hAnsi="Arial" w:cs="Arial"/>
              </w:rPr>
              <w:t>30</w:t>
            </w:r>
            <w:r w:rsidR="000844F9" w:rsidRPr="00DA70AC">
              <w:rPr>
                <w:rFonts w:ascii="Arial" w:hAnsi="Arial" w:cs="Arial"/>
              </w:rPr>
              <w:t xml:space="preserve"> (and accounting for the non-recurrent surpluses), would require</w:t>
            </w:r>
            <w:r w:rsidR="00D2797B" w:rsidRPr="00DA70AC">
              <w:rPr>
                <w:rFonts w:ascii="Arial" w:hAnsi="Arial" w:cs="Arial"/>
              </w:rPr>
              <w:t xml:space="preserve"> not only </w:t>
            </w:r>
            <w:r w:rsidR="000844F9" w:rsidRPr="00DA70AC">
              <w:rPr>
                <w:rFonts w:ascii="Arial" w:hAnsi="Arial" w:cs="Arial"/>
              </w:rPr>
              <w:t>the entirety of this committed fund</w:t>
            </w:r>
            <w:r w:rsidR="00D2797B" w:rsidRPr="00DA70AC">
              <w:rPr>
                <w:rFonts w:ascii="Arial" w:hAnsi="Arial" w:cs="Arial"/>
              </w:rPr>
              <w:t>, but a further £</w:t>
            </w:r>
            <w:r w:rsidR="00DA70AC" w:rsidRPr="00DA70AC">
              <w:rPr>
                <w:rFonts w:ascii="Arial" w:hAnsi="Arial" w:cs="Arial"/>
              </w:rPr>
              <w:t>25</w:t>
            </w:r>
            <w:r w:rsidR="00823185" w:rsidRPr="00DA70AC">
              <w:rPr>
                <w:rFonts w:ascii="Arial" w:hAnsi="Arial" w:cs="Arial"/>
              </w:rPr>
              <w:t>.</w:t>
            </w:r>
            <w:r w:rsidR="00DA70AC" w:rsidRPr="00DA70AC">
              <w:rPr>
                <w:rFonts w:ascii="Arial" w:hAnsi="Arial" w:cs="Arial"/>
              </w:rPr>
              <w:t>164</w:t>
            </w:r>
            <w:r w:rsidR="00D2797B" w:rsidRPr="00DA70AC">
              <w:rPr>
                <w:rFonts w:ascii="Arial" w:hAnsi="Arial" w:cs="Arial"/>
              </w:rPr>
              <w:t>m of additional funding</w:t>
            </w:r>
            <w:r w:rsidR="000844F9" w:rsidRPr="00DA70AC">
              <w:rPr>
                <w:rFonts w:ascii="Arial" w:hAnsi="Arial" w:cs="Arial"/>
              </w:rPr>
              <w:t xml:space="preserve">.  However, one would not necessarily require </w:t>
            </w:r>
            <w:r w:rsidR="00D2797B" w:rsidRPr="00DA70AC">
              <w:rPr>
                <w:rFonts w:ascii="Arial" w:hAnsi="Arial" w:cs="Arial"/>
              </w:rPr>
              <w:t>this committed fund</w:t>
            </w:r>
            <w:r w:rsidR="000844F9" w:rsidRPr="00DA70AC">
              <w:rPr>
                <w:rFonts w:ascii="Arial" w:hAnsi="Arial" w:cs="Arial"/>
              </w:rPr>
              <w:t xml:space="preserve"> to be sufficient to cover the future unmet deficit, as the deficit needs to be addressed through recurrent efficiency schemes</w:t>
            </w:r>
            <w:r w:rsidR="00956F91" w:rsidRPr="00DA70AC">
              <w:rPr>
                <w:rFonts w:ascii="Arial" w:hAnsi="Arial" w:cs="Arial"/>
              </w:rPr>
              <w:t>,</w:t>
            </w:r>
            <w:r w:rsidR="000844F9" w:rsidRPr="00DA70AC">
              <w:rPr>
                <w:rFonts w:ascii="Arial" w:hAnsi="Arial" w:cs="Arial"/>
              </w:rPr>
              <w:t xml:space="preserve"> as opposed to a non-recurrent ‘sticking plaster’.  The committed fund may therefore be fully utilised moving forward, in order to manage the timing differences of balancing the budget on an annual basis (a statutory requirement) against the implementation of additional efficiency schemes.</w:t>
            </w:r>
          </w:p>
          <w:p w14:paraId="191D07AD" w14:textId="77777777" w:rsidR="00DE4AB1" w:rsidRPr="00F81C7D" w:rsidRDefault="00A3522E" w:rsidP="007079E9">
            <w:pPr>
              <w:pStyle w:val="ListParagraph"/>
              <w:autoSpaceDE w:val="0"/>
              <w:autoSpaceDN w:val="0"/>
              <w:jc w:val="both"/>
              <w:rPr>
                <w:rFonts w:ascii="Arial" w:hAnsi="Arial" w:cs="Arial"/>
              </w:rPr>
            </w:pPr>
            <w:r w:rsidRPr="00F81C7D">
              <w:rPr>
                <w:rFonts w:ascii="Arial" w:hAnsi="Arial" w:cs="Arial"/>
              </w:rPr>
              <w:t xml:space="preserve">  </w:t>
            </w:r>
          </w:p>
          <w:p w14:paraId="09BC3B23" w14:textId="77777777" w:rsidR="00DE4AB1" w:rsidRPr="00F81C7D" w:rsidRDefault="00DE4AB1"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 xml:space="preserve">Commissioning Strategy and </w:t>
            </w:r>
            <w:r w:rsidR="0068430B" w:rsidRPr="00F81C7D">
              <w:rPr>
                <w:rFonts w:ascii="Arial" w:hAnsi="Arial" w:cs="Arial"/>
                <w:u w:val="single"/>
              </w:rPr>
              <w:t>For</w:t>
            </w:r>
            <w:r w:rsidR="00C94EDD" w:rsidRPr="00F81C7D">
              <w:rPr>
                <w:rFonts w:ascii="Arial" w:hAnsi="Arial" w:cs="Arial"/>
                <w:u w:val="single"/>
              </w:rPr>
              <w:t>ce Initiatives - (Line C2</w:t>
            </w:r>
            <w:r w:rsidRPr="00F81C7D">
              <w:rPr>
                <w:rFonts w:ascii="Arial" w:hAnsi="Arial" w:cs="Arial"/>
                <w:u w:val="single"/>
              </w:rPr>
              <w:t>)</w:t>
            </w:r>
          </w:p>
          <w:p w14:paraId="1535658A" w14:textId="77777777" w:rsidR="00DE4AB1" w:rsidRPr="00F81C7D" w:rsidRDefault="00DE4AB1" w:rsidP="007079E9">
            <w:pPr>
              <w:pStyle w:val="ListParagraph"/>
              <w:ind w:left="0"/>
              <w:rPr>
                <w:rFonts w:ascii="Arial" w:hAnsi="Arial" w:cs="Arial"/>
              </w:rPr>
            </w:pPr>
          </w:p>
          <w:p w14:paraId="3C851EF9" w14:textId="77777777" w:rsidR="00DE4AB1" w:rsidRPr="00F81C7D" w:rsidRDefault="00DE4AB1" w:rsidP="007079E9">
            <w:pPr>
              <w:pStyle w:val="ListParagraph"/>
              <w:numPr>
                <w:ilvl w:val="0"/>
                <w:numId w:val="22"/>
              </w:numPr>
              <w:autoSpaceDE w:val="0"/>
              <w:autoSpaceDN w:val="0"/>
              <w:jc w:val="both"/>
              <w:rPr>
                <w:rFonts w:ascii="Arial" w:hAnsi="Arial" w:cs="Arial"/>
              </w:rPr>
            </w:pPr>
            <w:r w:rsidRPr="00F81C7D">
              <w:rPr>
                <w:rFonts w:ascii="Arial" w:hAnsi="Arial" w:cs="Arial"/>
              </w:rPr>
              <w:t>Purpose – This committed fund is primarily designed to pump-prime both the delivery of the Commissioner’s Strategic Commissioning Intentions, and also specific Office of the Police and Crime Commissioner (OPCC) and Gwent Police initiatives</w:t>
            </w:r>
            <w:r w:rsidR="00956F91">
              <w:rPr>
                <w:rFonts w:ascii="Arial" w:hAnsi="Arial" w:cs="Arial"/>
              </w:rPr>
              <w:t>,</w:t>
            </w:r>
            <w:r w:rsidRPr="00F81C7D">
              <w:rPr>
                <w:rFonts w:ascii="Arial" w:hAnsi="Arial" w:cs="Arial"/>
              </w:rPr>
              <w:t xml:space="preserve"> to deliver the Commissioner’s Police and Crime Plan.</w:t>
            </w:r>
          </w:p>
          <w:p w14:paraId="5A020701" w14:textId="40EAD54E" w:rsidR="00171E3B" w:rsidRPr="00F81C7D" w:rsidRDefault="00DE4AB1" w:rsidP="007079E9">
            <w:pPr>
              <w:pStyle w:val="ListParagraph"/>
              <w:numPr>
                <w:ilvl w:val="0"/>
                <w:numId w:val="22"/>
              </w:numPr>
              <w:autoSpaceDE w:val="0"/>
              <w:autoSpaceDN w:val="0"/>
              <w:jc w:val="both"/>
              <w:rPr>
                <w:rFonts w:ascii="Arial" w:hAnsi="Arial" w:cs="Arial"/>
              </w:rPr>
            </w:pPr>
            <w:r w:rsidRPr="00F81C7D">
              <w:rPr>
                <w:rFonts w:ascii="Arial" w:hAnsi="Arial" w:cs="Arial"/>
              </w:rPr>
              <w:t>Planned Utilisation –</w:t>
            </w:r>
            <w:r w:rsidR="00D30E2B">
              <w:rPr>
                <w:rFonts w:ascii="Arial" w:hAnsi="Arial" w:cs="Arial"/>
              </w:rPr>
              <w:t xml:space="preserve"> T</w:t>
            </w:r>
            <w:r w:rsidRPr="00F81C7D">
              <w:rPr>
                <w:rFonts w:ascii="Arial" w:hAnsi="Arial" w:cs="Arial"/>
              </w:rPr>
              <w:t xml:space="preserve">his committed fund </w:t>
            </w:r>
            <w:r w:rsidR="00D30E2B">
              <w:rPr>
                <w:rFonts w:ascii="Arial" w:hAnsi="Arial" w:cs="Arial"/>
              </w:rPr>
              <w:t>will</w:t>
            </w:r>
            <w:r w:rsidRPr="00F81C7D">
              <w:rPr>
                <w:rFonts w:ascii="Arial" w:hAnsi="Arial" w:cs="Arial"/>
              </w:rPr>
              <w:t xml:space="preserve"> be destined to support the delivery of a more targeted approach to deliver</w:t>
            </w:r>
            <w:r w:rsidR="00C94EDD" w:rsidRPr="00F81C7D">
              <w:rPr>
                <w:rFonts w:ascii="Arial" w:hAnsi="Arial" w:cs="Arial"/>
              </w:rPr>
              <w:t xml:space="preserve"> certain aspects of </w:t>
            </w:r>
            <w:r w:rsidRPr="00F81C7D">
              <w:rPr>
                <w:rFonts w:ascii="Arial" w:hAnsi="Arial" w:cs="Arial"/>
              </w:rPr>
              <w:t xml:space="preserve">the Commissioner’s </w:t>
            </w:r>
            <w:r w:rsidR="00D30E2B">
              <w:rPr>
                <w:rFonts w:ascii="Arial" w:hAnsi="Arial" w:cs="Arial"/>
              </w:rPr>
              <w:t xml:space="preserve">new </w:t>
            </w:r>
            <w:r w:rsidRPr="00F81C7D">
              <w:rPr>
                <w:rFonts w:ascii="Arial" w:hAnsi="Arial" w:cs="Arial"/>
              </w:rPr>
              <w:t>P</w:t>
            </w:r>
            <w:r w:rsidR="00C94EDD" w:rsidRPr="00F81C7D">
              <w:rPr>
                <w:rFonts w:ascii="Arial" w:hAnsi="Arial" w:cs="Arial"/>
              </w:rPr>
              <w:t>olice and Crime Plan, such as supporting the Commissioner’s Police Community Fund</w:t>
            </w:r>
            <w:r w:rsidR="00606B76" w:rsidRPr="00F81C7D">
              <w:rPr>
                <w:rFonts w:ascii="Arial" w:hAnsi="Arial" w:cs="Arial"/>
              </w:rPr>
              <w:t xml:space="preserve"> or developing </w:t>
            </w:r>
            <w:r w:rsidR="00E84C19" w:rsidRPr="00F81C7D">
              <w:rPr>
                <w:rFonts w:ascii="Arial" w:hAnsi="Arial" w:cs="Arial"/>
              </w:rPr>
              <w:lastRenderedPageBreak/>
              <w:t>diversion/</w:t>
            </w:r>
            <w:r w:rsidR="005217D4">
              <w:rPr>
                <w:rFonts w:ascii="Arial" w:hAnsi="Arial" w:cs="Arial"/>
              </w:rPr>
              <w:t xml:space="preserve">crime </w:t>
            </w:r>
            <w:r w:rsidR="00E84C19" w:rsidRPr="00F81C7D">
              <w:rPr>
                <w:rFonts w:ascii="Arial" w:hAnsi="Arial" w:cs="Arial"/>
              </w:rPr>
              <w:t>prevention initiatives</w:t>
            </w:r>
            <w:r w:rsidRPr="00F81C7D">
              <w:rPr>
                <w:rFonts w:ascii="Arial" w:hAnsi="Arial" w:cs="Arial"/>
              </w:rPr>
              <w:t>.</w:t>
            </w:r>
            <w:r w:rsidR="004C215B">
              <w:rPr>
                <w:rFonts w:ascii="Arial" w:hAnsi="Arial" w:cs="Arial"/>
              </w:rPr>
              <w:t xml:space="preserve"> </w:t>
            </w:r>
            <w:r w:rsidR="00E31B5F">
              <w:rPr>
                <w:rFonts w:ascii="Arial" w:hAnsi="Arial" w:cs="Arial"/>
              </w:rPr>
              <w:t xml:space="preserve"> </w:t>
            </w:r>
            <w:r w:rsidR="00D30E2B" w:rsidRPr="00F81C7D">
              <w:rPr>
                <w:rFonts w:ascii="Arial" w:hAnsi="Arial" w:cs="Arial"/>
              </w:rPr>
              <w:t xml:space="preserve">Once the priorities and the work programme of the </w:t>
            </w:r>
            <w:r w:rsidR="00D30E2B">
              <w:rPr>
                <w:rFonts w:ascii="Arial" w:hAnsi="Arial" w:cs="Arial"/>
              </w:rPr>
              <w:t>Police and Crime Plan have</w:t>
            </w:r>
            <w:r w:rsidR="00D30E2B" w:rsidRPr="00F81C7D">
              <w:rPr>
                <w:rFonts w:ascii="Arial" w:hAnsi="Arial" w:cs="Arial"/>
              </w:rPr>
              <w:t xml:space="preserve"> become embedded, the opportunities for co-commissioning (with both the OPCC and Gwent Police) will become clearer and subsequently, so too will the utilisation of this committed fund.</w:t>
            </w:r>
            <w:r w:rsidR="00D30E2B">
              <w:rPr>
                <w:rFonts w:ascii="Arial" w:hAnsi="Arial" w:cs="Arial"/>
              </w:rPr>
              <w:t xml:space="preserve">  </w:t>
            </w:r>
            <w:r w:rsidR="004C215B">
              <w:rPr>
                <w:rFonts w:ascii="Arial" w:hAnsi="Arial" w:cs="Arial"/>
              </w:rPr>
              <w:t>It may also provide the funding of initiatives to drive out efficiency and productivity improvements</w:t>
            </w:r>
            <w:r w:rsidR="00D30E2B">
              <w:rPr>
                <w:rFonts w:ascii="Arial" w:hAnsi="Arial" w:cs="Arial"/>
              </w:rPr>
              <w:t xml:space="preserve"> across both organisations</w:t>
            </w:r>
            <w:r w:rsidR="004C215B">
              <w:rPr>
                <w:rFonts w:ascii="Arial" w:hAnsi="Arial" w:cs="Arial"/>
              </w:rPr>
              <w:t>.</w:t>
            </w:r>
          </w:p>
          <w:p w14:paraId="1AD39552" w14:textId="77777777" w:rsidR="00DE4AB1" w:rsidRPr="00F81C7D" w:rsidRDefault="00DE4AB1" w:rsidP="007079E9">
            <w:pPr>
              <w:pStyle w:val="ListParagraph"/>
              <w:autoSpaceDE w:val="0"/>
              <w:autoSpaceDN w:val="0"/>
              <w:ind w:left="360"/>
              <w:jc w:val="both"/>
              <w:rPr>
                <w:rFonts w:ascii="Arial" w:hAnsi="Arial" w:cs="Arial"/>
                <w:u w:val="single"/>
              </w:rPr>
            </w:pPr>
          </w:p>
          <w:p w14:paraId="42142A1B" w14:textId="1D5E5D8B" w:rsidR="005072EA" w:rsidRPr="00F81C7D" w:rsidRDefault="00C94EDD"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Airwave - (Line C3</w:t>
            </w:r>
            <w:r w:rsidR="005072EA" w:rsidRPr="00F81C7D">
              <w:rPr>
                <w:rFonts w:ascii="Arial" w:hAnsi="Arial" w:cs="Arial"/>
                <w:u w:val="single"/>
              </w:rPr>
              <w:t>)</w:t>
            </w:r>
          </w:p>
          <w:p w14:paraId="1AA013F2" w14:textId="77777777" w:rsidR="005072EA" w:rsidRPr="00F81C7D" w:rsidRDefault="005072EA" w:rsidP="007079E9">
            <w:pPr>
              <w:pStyle w:val="ListParagraph"/>
              <w:ind w:left="0"/>
              <w:rPr>
                <w:rFonts w:ascii="Arial" w:hAnsi="Arial" w:cs="Arial"/>
              </w:rPr>
            </w:pPr>
          </w:p>
          <w:p w14:paraId="0A29DEFE" w14:textId="5D884473" w:rsidR="005072EA" w:rsidRPr="00A46455" w:rsidRDefault="005072EA" w:rsidP="007079E9">
            <w:pPr>
              <w:pStyle w:val="ListParagraph"/>
              <w:numPr>
                <w:ilvl w:val="0"/>
                <w:numId w:val="23"/>
              </w:numPr>
              <w:autoSpaceDE w:val="0"/>
              <w:autoSpaceDN w:val="0"/>
              <w:jc w:val="both"/>
              <w:rPr>
                <w:rFonts w:ascii="Arial" w:hAnsi="Arial" w:cs="Arial"/>
              </w:rPr>
            </w:pPr>
            <w:r w:rsidRPr="00F81C7D">
              <w:rPr>
                <w:rFonts w:ascii="Arial" w:hAnsi="Arial" w:cs="Arial"/>
              </w:rPr>
              <w:t xml:space="preserve">Purpose – Due to the length of the lifecycle and the complexity of the funding model for the initial Airwave replacement programme it was necessary, at its inception, </w:t>
            </w:r>
            <w:r w:rsidR="00010658" w:rsidRPr="00F81C7D">
              <w:rPr>
                <w:rFonts w:ascii="Arial" w:hAnsi="Arial" w:cs="Arial"/>
              </w:rPr>
              <w:t xml:space="preserve">to create a committed fund (in this instance, as with </w:t>
            </w:r>
            <w:r w:rsidR="00D17743">
              <w:rPr>
                <w:rFonts w:ascii="Arial" w:hAnsi="Arial" w:cs="Arial"/>
              </w:rPr>
              <w:t>the Commissioner</w:t>
            </w:r>
            <w:r w:rsidR="00B42A3D">
              <w:rPr>
                <w:rFonts w:ascii="Arial" w:hAnsi="Arial" w:cs="Arial"/>
              </w:rPr>
              <w:t>’</w:t>
            </w:r>
            <w:r w:rsidR="00D17743">
              <w:rPr>
                <w:rFonts w:ascii="Arial" w:hAnsi="Arial" w:cs="Arial"/>
              </w:rPr>
              <w:t xml:space="preserve">s previous </w:t>
            </w:r>
            <w:r w:rsidR="00010658" w:rsidRPr="00F81C7D">
              <w:rPr>
                <w:rFonts w:ascii="Arial" w:hAnsi="Arial" w:cs="Arial"/>
              </w:rPr>
              <w:t>P</w:t>
            </w:r>
            <w:r w:rsidR="00D17743">
              <w:rPr>
                <w:rFonts w:ascii="Arial" w:hAnsi="Arial" w:cs="Arial"/>
              </w:rPr>
              <w:t xml:space="preserve">rivate </w:t>
            </w:r>
            <w:r w:rsidR="00010658" w:rsidRPr="00F81C7D">
              <w:rPr>
                <w:rFonts w:ascii="Arial" w:hAnsi="Arial" w:cs="Arial"/>
              </w:rPr>
              <w:t>F</w:t>
            </w:r>
            <w:r w:rsidR="00D17743">
              <w:rPr>
                <w:rFonts w:ascii="Arial" w:hAnsi="Arial" w:cs="Arial"/>
              </w:rPr>
              <w:t xml:space="preserve">inance </w:t>
            </w:r>
            <w:r w:rsidR="00010658" w:rsidRPr="00F81C7D">
              <w:rPr>
                <w:rFonts w:ascii="Arial" w:hAnsi="Arial" w:cs="Arial"/>
              </w:rPr>
              <w:t>I</w:t>
            </w:r>
            <w:r w:rsidR="00D17743">
              <w:rPr>
                <w:rFonts w:ascii="Arial" w:hAnsi="Arial" w:cs="Arial"/>
              </w:rPr>
              <w:t>nitiative committed fund</w:t>
            </w:r>
            <w:r w:rsidR="00010658" w:rsidRPr="00F81C7D">
              <w:rPr>
                <w:rFonts w:ascii="Arial" w:hAnsi="Arial" w:cs="Arial"/>
              </w:rPr>
              <w:t xml:space="preserve">, also referred to as a ‘sinking fund’).  </w:t>
            </w:r>
            <w:r w:rsidRPr="00F81C7D">
              <w:rPr>
                <w:rFonts w:ascii="Arial" w:hAnsi="Arial" w:cs="Arial"/>
              </w:rPr>
              <w:t xml:space="preserve">  This ensures </w:t>
            </w:r>
            <w:r w:rsidRPr="00A46455">
              <w:rPr>
                <w:rFonts w:ascii="Arial" w:hAnsi="Arial" w:cs="Arial"/>
              </w:rPr>
              <w:t>that the affordability of the scheme is safeguarded for its entire duration and the variable impact of its financial cycle is minimised.</w:t>
            </w:r>
          </w:p>
          <w:p w14:paraId="3203D21B" w14:textId="641A5D06" w:rsidR="00D30E2B" w:rsidRPr="00D17743" w:rsidRDefault="005072EA" w:rsidP="00D30E2B">
            <w:pPr>
              <w:pStyle w:val="ListParagraph"/>
              <w:numPr>
                <w:ilvl w:val="0"/>
                <w:numId w:val="23"/>
              </w:numPr>
              <w:autoSpaceDE w:val="0"/>
              <w:autoSpaceDN w:val="0"/>
              <w:jc w:val="both"/>
              <w:rPr>
                <w:rFonts w:ascii="Arial" w:hAnsi="Arial" w:cs="Arial"/>
              </w:rPr>
            </w:pPr>
            <w:r w:rsidRPr="00D02DEC">
              <w:rPr>
                <w:rFonts w:ascii="Arial" w:hAnsi="Arial" w:cs="Arial"/>
              </w:rPr>
              <w:t xml:space="preserve">Planned Utilisation – the Airwave system is being phased out and </w:t>
            </w:r>
            <w:r w:rsidR="006D7BAD" w:rsidRPr="00D02DEC">
              <w:rPr>
                <w:rFonts w:ascii="Arial" w:hAnsi="Arial" w:cs="Arial"/>
              </w:rPr>
              <w:t xml:space="preserve">as highlighted above </w:t>
            </w:r>
            <w:r w:rsidRPr="00D02DEC">
              <w:rPr>
                <w:rFonts w:ascii="Arial" w:hAnsi="Arial" w:cs="Arial"/>
              </w:rPr>
              <w:t>will be replaced by t</w:t>
            </w:r>
            <w:r w:rsidR="00010658" w:rsidRPr="00D02DEC">
              <w:rPr>
                <w:rFonts w:ascii="Arial" w:hAnsi="Arial" w:cs="Arial"/>
              </w:rPr>
              <w:t>he E</w:t>
            </w:r>
            <w:r w:rsidRPr="00D02DEC">
              <w:rPr>
                <w:rFonts w:ascii="Arial" w:hAnsi="Arial" w:cs="Arial"/>
              </w:rPr>
              <w:t>SMCP</w:t>
            </w:r>
            <w:r w:rsidR="006D7BAD" w:rsidRPr="00D02DEC">
              <w:rPr>
                <w:rFonts w:ascii="Arial" w:hAnsi="Arial" w:cs="Arial"/>
              </w:rPr>
              <w:t xml:space="preserve"> </w:t>
            </w:r>
            <w:r w:rsidR="00C94EDD" w:rsidRPr="00D02DEC">
              <w:rPr>
                <w:rFonts w:ascii="Arial" w:hAnsi="Arial" w:cs="Arial"/>
              </w:rPr>
              <w:t>ESN</w:t>
            </w:r>
            <w:r w:rsidRPr="00D02DEC">
              <w:rPr>
                <w:rFonts w:ascii="Arial" w:hAnsi="Arial" w:cs="Arial"/>
              </w:rPr>
              <w:t>.</w:t>
            </w:r>
            <w:r w:rsidR="00D30E2B">
              <w:rPr>
                <w:rFonts w:ascii="Arial" w:hAnsi="Arial" w:cs="Arial"/>
              </w:rPr>
              <w:t xml:space="preserve">  </w:t>
            </w:r>
            <w:r w:rsidR="00D30E2B" w:rsidRPr="00D17743">
              <w:rPr>
                <w:rFonts w:ascii="Arial" w:hAnsi="Arial" w:cs="Arial"/>
              </w:rPr>
              <w:t>Based on current estimates of the cost of transition and dual running implications of this programme, coupled with the revenue contribution into the committed fund from base budgets, it is estimated that although this committed fund will not be fully utilised at the current date of transition sometime during 20</w:t>
            </w:r>
            <w:r w:rsidR="00D30E2B">
              <w:rPr>
                <w:rFonts w:ascii="Arial" w:hAnsi="Arial" w:cs="Arial"/>
              </w:rPr>
              <w:t>32/33</w:t>
            </w:r>
            <w:r w:rsidR="00D30E2B" w:rsidRPr="00D17743">
              <w:rPr>
                <w:rFonts w:ascii="Arial" w:hAnsi="Arial" w:cs="Arial"/>
              </w:rPr>
              <w:t xml:space="preserve">, further delays in the delivery of ESN may necessitate further dual running costs, which would ultimately deplete this reserve in its entirety. </w:t>
            </w:r>
          </w:p>
          <w:p w14:paraId="0CB34C85" w14:textId="77777777" w:rsidR="00AD65DB" w:rsidRPr="00F81C7D" w:rsidRDefault="00AD65DB" w:rsidP="007079E9">
            <w:pPr>
              <w:pStyle w:val="ListParagraph"/>
              <w:autoSpaceDE w:val="0"/>
              <w:autoSpaceDN w:val="0"/>
              <w:ind w:left="360"/>
              <w:jc w:val="both"/>
              <w:rPr>
                <w:rFonts w:ascii="Arial" w:hAnsi="Arial" w:cs="Arial"/>
                <w:u w:val="single"/>
              </w:rPr>
            </w:pPr>
          </w:p>
          <w:p w14:paraId="558B352D" w14:textId="530EB0E5" w:rsidR="0097178F" w:rsidRPr="00F81C7D" w:rsidRDefault="0097178F" w:rsidP="007079E9">
            <w:pPr>
              <w:pStyle w:val="ListParagraph"/>
              <w:numPr>
                <w:ilvl w:val="0"/>
                <w:numId w:val="32"/>
              </w:numPr>
              <w:autoSpaceDE w:val="0"/>
              <w:autoSpaceDN w:val="0"/>
              <w:jc w:val="both"/>
              <w:rPr>
                <w:rFonts w:ascii="Arial" w:hAnsi="Arial" w:cs="Arial"/>
                <w:u w:val="single"/>
              </w:rPr>
            </w:pPr>
            <w:r w:rsidRPr="00F81C7D">
              <w:rPr>
                <w:rFonts w:ascii="Arial" w:hAnsi="Arial" w:cs="Arial"/>
                <w:u w:val="single"/>
              </w:rPr>
              <w:t xml:space="preserve">Other Financial Liabilities – Tribunal and Ombudsman Liabilities through to </w:t>
            </w:r>
            <w:r w:rsidR="000902F2">
              <w:rPr>
                <w:rFonts w:ascii="Arial" w:hAnsi="Arial" w:cs="Arial"/>
                <w:u w:val="single"/>
              </w:rPr>
              <w:t>PCSO Increase</w:t>
            </w:r>
            <w:r w:rsidR="00AC3A9A" w:rsidRPr="00F81C7D">
              <w:rPr>
                <w:rFonts w:ascii="Arial" w:hAnsi="Arial" w:cs="Arial"/>
                <w:u w:val="single"/>
              </w:rPr>
              <w:t xml:space="preserve"> </w:t>
            </w:r>
            <w:r w:rsidR="00C94EDD" w:rsidRPr="00F81C7D">
              <w:rPr>
                <w:rFonts w:ascii="Arial" w:hAnsi="Arial" w:cs="Arial"/>
                <w:u w:val="single"/>
              </w:rPr>
              <w:t>- (Lines C4</w:t>
            </w:r>
            <w:r w:rsidR="006364BB" w:rsidRPr="00F81C7D">
              <w:rPr>
                <w:rFonts w:ascii="Arial" w:hAnsi="Arial" w:cs="Arial"/>
                <w:u w:val="single"/>
              </w:rPr>
              <w:t>a</w:t>
            </w:r>
            <w:r w:rsidRPr="00F81C7D">
              <w:rPr>
                <w:rFonts w:ascii="Arial" w:hAnsi="Arial" w:cs="Arial"/>
                <w:u w:val="single"/>
              </w:rPr>
              <w:t xml:space="preserve"> </w:t>
            </w:r>
            <w:r w:rsidR="006364BB" w:rsidRPr="00F81C7D">
              <w:rPr>
                <w:rFonts w:ascii="Arial" w:hAnsi="Arial" w:cs="Arial"/>
                <w:u w:val="single"/>
              </w:rPr>
              <w:t xml:space="preserve">to </w:t>
            </w:r>
            <w:r w:rsidR="00C94EDD" w:rsidRPr="00F81C7D">
              <w:rPr>
                <w:rFonts w:ascii="Arial" w:hAnsi="Arial" w:cs="Arial"/>
                <w:u w:val="single"/>
              </w:rPr>
              <w:t>C4</w:t>
            </w:r>
            <w:r w:rsidR="00175B7C">
              <w:rPr>
                <w:rFonts w:ascii="Arial" w:hAnsi="Arial" w:cs="Arial"/>
                <w:u w:val="single"/>
              </w:rPr>
              <w:t>h</w:t>
            </w:r>
            <w:r w:rsidRPr="00F81C7D">
              <w:rPr>
                <w:rFonts w:ascii="Arial" w:hAnsi="Arial" w:cs="Arial"/>
                <w:u w:val="single"/>
              </w:rPr>
              <w:t>)</w:t>
            </w:r>
          </w:p>
          <w:p w14:paraId="5883D54A" w14:textId="77777777" w:rsidR="0097178F" w:rsidRPr="00F81C7D" w:rsidRDefault="0097178F" w:rsidP="007079E9">
            <w:pPr>
              <w:pStyle w:val="ListParagraph"/>
              <w:ind w:left="0"/>
              <w:rPr>
                <w:rFonts w:ascii="Arial" w:hAnsi="Arial" w:cs="Arial"/>
              </w:rPr>
            </w:pPr>
          </w:p>
          <w:p w14:paraId="549A5ED5" w14:textId="77777777" w:rsidR="006364BB" w:rsidRPr="00F81C7D" w:rsidRDefault="006364BB" w:rsidP="007079E9">
            <w:pPr>
              <w:pStyle w:val="ListParagraph"/>
              <w:numPr>
                <w:ilvl w:val="0"/>
                <w:numId w:val="20"/>
              </w:numPr>
              <w:autoSpaceDE w:val="0"/>
              <w:autoSpaceDN w:val="0"/>
              <w:jc w:val="both"/>
              <w:rPr>
                <w:rFonts w:ascii="Arial" w:hAnsi="Arial" w:cs="Arial"/>
              </w:rPr>
            </w:pPr>
            <w:r w:rsidRPr="00F81C7D">
              <w:rPr>
                <w:rFonts w:ascii="Arial" w:hAnsi="Arial" w:cs="Arial"/>
              </w:rPr>
              <w:t xml:space="preserve">Purpose – The rationale for these </w:t>
            </w:r>
            <w:r w:rsidR="002C39A2" w:rsidRPr="00F81C7D">
              <w:rPr>
                <w:rFonts w:ascii="Arial" w:hAnsi="Arial" w:cs="Arial"/>
              </w:rPr>
              <w:t>committed funds</w:t>
            </w:r>
            <w:r w:rsidRPr="00F81C7D">
              <w:rPr>
                <w:rFonts w:ascii="Arial" w:hAnsi="Arial" w:cs="Arial"/>
              </w:rPr>
              <w:t xml:space="preserve"> has been previously articulated in th</w:t>
            </w:r>
            <w:r w:rsidR="002C39A2" w:rsidRPr="00F81C7D">
              <w:rPr>
                <w:rFonts w:ascii="Arial" w:hAnsi="Arial" w:cs="Arial"/>
              </w:rPr>
              <w:t xml:space="preserve">e table </w:t>
            </w:r>
            <w:r w:rsidR="00CB12A0">
              <w:rPr>
                <w:rFonts w:ascii="Arial" w:hAnsi="Arial" w:cs="Arial"/>
              </w:rPr>
              <w:t>in</w:t>
            </w:r>
            <w:r w:rsidR="002C39A2" w:rsidRPr="00F81C7D">
              <w:rPr>
                <w:rFonts w:ascii="Arial" w:hAnsi="Arial" w:cs="Arial"/>
              </w:rPr>
              <w:t xml:space="preserve"> paragraph 4.</w:t>
            </w:r>
            <w:r w:rsidR="00A3766A" w:rsidRPr="00F81C7D">
              <w:rPr>
                <w:rFonts w:ascii="Arial" w:hAnsi="Arial" w:cs="Arial"/>
              </w:rPr>
              <w:t>2</w:t>
            </w:r>
            <w:r w:rsidRPr="00F81C7D">
              <w:rPr>
                <w:rFonts w:ascii="Arial" w:hAnsi="Arial" w:cs="Arial"/>
              </w:rPr>
              <w:t xml:space="preserve"> above.  </w:t>
            </w:r>
          </w:p>
          <w:p w14:paraId="4135013F" w14:textId="5D43D045" w:rsidR="00006B34" w:rsidRPr="00F81C7D" w:rsidRDefault="006364BB" w:rsidP="007079E9">
            <w:pPr>
              <w:pStyle w:val="ListParagraph"/>
              <w:numPr>
                <w:ilvl w:val="0"/>
                <w:numId w:val="20"/>
              </w:numPr>
              <w:autoSpaceDE w:val="0"/>
              <w:autoSpaceDN w:val="0"/>
              <w:jc w:val="both"/>
              <w:rPr>
                <w:rFonts w:ascii="Arial" w:hAnsi="Arial" w:cs="Arial"/>
              </w:rPr>
            </w:pPr>
            <w:r w:rsidRPr="00F81C7D">
              <w:rPr>
                <w:rFonts w:ascii="Arial" w:hAnsi="Arial" w:cs="Arial"/>
              </w:rPr>
              <w:t xml:space="preserve">Planned Utilisation – </w:t>
            </w:r>
            <w:r w:rsidR="00F5207B" w:rsidRPr="00F81C7D">
              <w:rPr>
                <w:rFonts w:ascii="Arial" w:hAnsi="Arial" w:cs="Arial"/>
              </w:rPr>
              <w:t>A</w:t>
            </w:r>
            <w:r w:rsidRPr="00F81C7D">
              <w:rPr>
                <w:rFonts w:ascii="Arial" w:hAnsi="Arial" w:cs="Arial"/>
              </w:rPr>
              <w:t>gain, a</w:t>
            </w:r>
            <w:r w:rsidR="00F5207B" w:rsidRPr="00F81C7D">
              <w:rPr>
                <w:rFonts w:ascii="Arial" w:hAnsi="Arial" w:cs="Arial"/>
              </w:rPr>
              <w:t xml:space="preserve">s mentioned previously, these </w:t>
            </w:r>
            <w:r w:rsidR="002C39A2" w:rsidRPr="00F81C7D">
              <w:rPr>
                <w:rFonts w:ascii="Arial" w:hAnsi="Arial" w:cs="Arial"/>
              </w:rPr>
              <w:t>committed funds</w:t>
            </w:r>
            <w:r w:rsidR="00F5207B" w:rsidRPr="00F81C7D">
              <w:rPr>
                <w:rFonts w:ascii="Arial" w:hAnsi="Arial" w:cs="Arial"/>
              </w:rPr>
              <w:t xml:space="preserve"> receive extensive scrutiny at the year-end and also during each budget setting cycl</w:t>
            </w:r>
            <w:r w:rsidR="00006B34" w:rsidRPr="00F81C7D">
              <w:rPr>
                <w:rFonts w:ascii="Arial" w:hAnsi="Arial" w:cs="Arial"/>
              </w:rPr>
              <w:t xml:space="preserve">e.  Therefore, although these </w:t>
            </w:r>
            <w:r w:rsidR="002C39A2" w:rsidRPr="00F81C7D">
              <w:rPr>
                <w:rFonts w:ascii="Arial" w:hAnsi="Arial" w:cs="Arial"/>
              </w:rPr>
              <w:t>committed funds</w:t>
            </w:r>
            <w:r w:rsidR="00006B34" w:rsidRPr="00F81C7D">
              <w:rPr>
                <w:rFonts w:ascii="Arial" w:hAnsi="Arial" w:cs="Arial"/>
              </w:rPr>
              <w:t xml:space="preserve"> still show a balance of £</w:t>
            </w:r>
            <w:r w:rsidR="00D30E2B">
              <w:rPr>
                <w:rFonts w:ascii="Arial" w:hAnsi="Arial" w:cs="Arial"/>
              </w:rPr>
              <w:t>2.718</w:t>
            </w:r>
            <w:r w:rsidR="00F549AB">
              <w:rPr>
                <w:rFonts w:ascii="Arial" w:hAnsi="Arial" w:cs="Arial"/>
              </w:rPr>
              <w:t>m</w:t>
            </w:r>
            <w:r w:rsidR="00006B34" w:rsidRPr="00F81C7D">
              <w:rPr>
                <w:rFonts w:ascii="Arial" w:hAnsi="Arial" w:cs="Arial"/>
              </w:rPr>
              <w:t xml:space="preserve"> in 202</w:t>
            </w:r>
            <w:r w:rsidR="00D30E2B">
              <w:rPr>
                <w:rFonts w:ascii="Arial" w:hAnsi="Arial" w:cs="Arial"/>
              </w:rPr>
              <w:t>9</w:t>
            </w:r>
            <w:r w:rsidR="00006B34" w:rsidRPr="00F81C7D">
              <w:rPr>
                <w:rFonts w:ascii="Arial" w:hAnsi="Arial" w:cs="Arial"/>
              </w:rPr>
              <w:t>/</w:t>
            </w:r>
            <w:r w:rsidR="00D30E2B">
              <w:rPr>
                <w:rFonts w:ascii="Arial" w:hAnsi="Arial" w:cs="Arial"/>
              </w:rPr>
              <w:t>30</w:t>
            </w:r>
            <w:r w:rsidR="00006B34" w:rsidRPr="00F81C7D">
              <w:rPr>
                <w:rFonts w:ascii="Arial" w:hAnsi="Arial" w:cs="Arial"/>
              </w:rPr>
              <w:t>, thi</w:t>
            </w:r>
            <w:r w:rsidR="002C39A2" w:rsidRPr="00F81C7D">
              <w:rPr>
                <w:rFonts w:ascii="Arial" w:hAnsi="Arial" w:cs="Arial"/>
              </w:rPr>
              <w:t>s does not mean that the committed fund</w:t>
            </w:r>
            <w:r w:rsidR="00006B34" w:rsidRPr="00F81C7D">
              <w:rPr>
                <w:rFonts w:ascii="Arial" w:hAnsi="Arial" w:cs="Arial"/>
              </w:rPr>
              <w:t xml:space="preserve">s are not required up to this point in time, rather the plans for their utilisation are not finalised to identify the timing of the individual </w:t>
            </w:r>
            <w:r w:rsidR="002C39A2" w:rsidRPr="00F81C7D">
              <w:rPr>
                <w:rFonts w:ascii="Arial" w:hAnsi="Arial" w:cs="Arial"/>
              </w:rPr>
              <w:t>committed fund</w:t>
            </w:r>
            <w:r w:rsidR="00006B34" w:rsidRPr="00F81C7D">
              <w:rPr>
                <w:rFonts w:ascii="Arial" w:hAnsi="Arial" w:cs="Arial"/>
              </w:rPr>
              <w:t>’s utilisation.</w:t>
            </w:r>
          </w:p>
          <w:p w14:paraId="6544AC72" w14:textId="77777777" w:rsidR="007D748D" w:rsidRPr="00F81C7D" w:rsidRDefault="007D748D" w:rsidP="007079E9">
            <w:pPr>
              <w:pStyle w:val="ListParagraph"/>
              <w:autoSpaceDE w:val="0"/>
              <w:autoSpaceDN w:val="0"/>
              <w:jc w:val="both"/>
              <w:rPr>
                <w:rFonts w:ascii="Arial" w:hAnsi="Arial" w:cs="Arial"/>
                <w:u w:val="single"/>
              </w:rPr>
            </w:pPr>
          </w:p>
          <w:p w14:paraId="3CC5AF4F" w14:textId="71728528" w:rsidR="005617AF" w:rsidRPr="00F81C7D" w:rsidRDefault="005617AF" w:rsidP="007079E9">
            <w:pPr>
              <w:pStyle w:val="ListParagraph"/>
              <w:ind w:left="0"/>
              <w:jc w:val="both"/>
              <w:rPr>
                <w:rFonts w:ascii="Arial" w:hAnsi="Arial" w:cs="Arial"/>
                <w:u w:val="single"/>
              </w:rPr>
            </w:pPr>
            <w:r w:rsidRPr="00F81C7D">
              <w:rPr>
                <w:rFonts w:ascii="Arial" w:hAnsi="Arial" w:cs="Arial"/>
                <w:u w:val="single"/>
              </w:rPr>
              <w:t xml:space="preserve">Capital </w:t>
            </w:r>
            <w:r w:rsidR="00F549AB">
              <w:rPr>
                <w:rFonts w:ascii="Arial" w:hAnsi="Arial" w:cs="Arial"/>
                <w:u w:val="single"/>
              </w:rPr>
              <w:t xml:space="preserve">Reserves and </w:t>
            </w:r>
            <w:r w:rsidRPr="00F81C7D">
              <w:rPr>
                <w:rFonts w:ascii="Arial" w:hAnsi="Arial" w:cs="Arial"/>
                <w:u w:val="single"/>
              </w:rPr>
              <w:t xml:space="preserve">Committed </w:t>
            </w:r>
            <w:r w:rsidR="00407FB5" w:rsidRPr="00F81C7D">
              <w:rPr>
                <w:rFonts w:ascii="Arial" w:hAnsi="Arial" w:cs="Arial"/>
                <w:u w:val="single"/>
              </w:rPr>
              <w:t>Funds</w:t>
            </w:r>
          </w:p>
          <w:p w14:paraId="06E335E8" w14:textId="77777777" w:rsidR="005617AF" w:rsidRPr="00F81C7D" w:rsidRDefault="005617AF" w:rsidP="007079E9">
            <w:pPr>
              <w:pStyle w:val="ListParagraph"/>
              <w:ind w:left="0"/>
              <w:jc w:val="both"/>
              <w:rPr>
                <w:rFonts w:ascii="Arial" w:hAnsi="Arial" w:cs="Arial"/>
              </w:rPr>
            </w:pPr>
          </w:p>
          <w:p w14:paraId="5597AE57" w14:textId="77777777" w:rsidR="005617AF" w:rsidRPr="00F81C7D" w:rsidRDefault="005617AF" w:rsidP="007079E9">
            <w:pPr>
              <w:pStyle w:val="ListParagraph"/>
              <w:numPr>
                <w:ilvl w:val="0"/>
                <w:numId w:val="27"/>
              </w:numPr>
              <w:autoSpaceDE w:val="0"/>
              <w:autoSpaceDN w:val="0"/>
              <w:jc w:val="both"/>
              <w:rPr>
                <w:rFonts w:ascii="Arial" w:hAnsi="Arial" w:cs="Arial"/>
                <w:u w:val="single"/>
              </w:rPr>
            </w:pPr>
            <w:r w:rsidRPr="00F81C7D">
              <w:rPr>
                <w:rFonts w:ascii="Arial" w:hAnsi="Arial" w:cs="Arial"/>
                <w:u w:val="single"/>
              </w:rPr>
              <w:t xml:space="preserve">Capital Grant - (Line </w:t>
            </w:r>
            <w:r w:rsidR="00A3766A" w:rsidRPr="00F81C7D">
              <w:rPr>
                <w:rFonts w:ascii="Arial" w:hAnsi="Arial" w:cs="Arial"/>
                <w:u w:val="single"/>
              </w:rPr>
              <w:t>A</w:t>
            </w:r>
            <w:r w:rsidRPr="00F81C7D">
              <w:rPr>
                <w:rFonts w:ascii="Arial" w:hAnsi="Arial" w:cs="Arial"/>
                <w:u w:val="single"/>
              </w:rPr>
              <w:t>1)</w:t>
            </w:r>
          </w:p>
          <w:p w14:paraId="37082E20" w14:textId="77777777" w:rsidR="005617AF" w:rsidRPr="00F81C7D" w:rsidRDefault="005617AF" w:rsidP="007079E9">
            <w:pPr>
              <w:pStyle w:val="ListParagraph"/>
              <w:ind w:left="0"/>
              <w:rPr>
                <w:rFonts w:ascii="Arial" w:hAnsi="Arial" w:cs="Arial"/>
              </w:rPr>
            </w:pPr>
          </w:p>
          <w:p w14:paraId="4FDE5864" w14:textId="4F7A4562" w:rsidR="00A25F08" w:rsidRPr="00F81C7D" w:rsidRDefault="005617AF" w:rsidP="007079E9">
            <w:pPr>
              <w:pStyle w:val="ListParagraph"/>
              <w:numPr>
                <w:ilvl w:val="0"/>
                <w:numId w:val="24"/>
              </w:numPr>
              <w:autoSpaceDE w:val="0"/>
              <w:autoSpaceDN w:val="0"/>
              <w:jc w:val="both"/>
              <w:rPr>
                <w:rFonts w:ascii="Arial" w:hAnsi="Arial" w:cs="Arial"/>
              </w:rPr>
            </w:pPr>
            <w:r w:rsidRPr="00F81C7D">
              <w:rPr>
                <w:rFonts w:ascii="Arial" w:hAnsi="Arial" w:cs="Arial"/>
              </w:rPr>
              <w:t>Purpose – This is</w:t>
            </w:r>
            <w:r w:rsidR="00A25F08" w:rsidRPr="00F81C7D">
              <w:rPr>
                <w:rFonts w:ascii="Arial" w:hAnsi="Arial" w:cs="Arial"/>
              </w:rPr>
              <w:t xml:space="preserve"> the</w:t>
            </w:r>
            <w:r w:rsidRPr="00F81C7D">
              <w:rPr>
                <w:rFonts w:ascii="Arial" w:hAnsi="Arial" w:cs="Arial"/>
              </w:rPr>
              <w:t xml:space="preserve"> </w:t>
            </w:r>
            <w:r w:rsidR="005B3415" w:rsidRPr="00F81C7D">
              <w:rPr>
                <w:rFonts w:ascii="Arial" w:hAnsi="Arial" w:cs="Arial"/>
              </w:rPr>
              <w:t>committed fund</w:t>
            </w:r>
            <w:r w:rsidR="00A25F08" w:rsidRPr="00F81C7D">
              <w:rPr>
                <w:rFonts w:ascii="Arial" w:hAnsi="Arial" w:cs="Arial"/>
              </w:rPr>
              <w:t xml:space="preserve"> referred in paragraph 4.</w:t>
            </w:r>
            <w:r w:rsidR="00A3766A" w:rsidRPr="00F81C7D">
              <w:rPr>
                <w:rFonts w:ascii="Arial" w:hAnsi="Arial" w:cs="Arial"/>
              </w:rPr>
              <w:t>11</w:t>
            </w:r>
            <w:r w:rsidR="00F549AB">
              <w:rPr>
                <w:rFonts w:ascii="Arial" w:hAnsi="Arial" w:cs="Arial"/>
              </w:rPr>
              <w:t xml:space="preserve"> a)</w:t>
            </w:r>
            <w:r w:rsidR="00A25F08" w:rsidRPr="00F81C7D">
              <w:rPr>
                <w:rFonts w:ascii="Arial" w:hAnsi="Arial" w:cs="Arial"/>
              </w:rPr>
              <w:t xml:space="preserve"> above.</w:t>
            </w:r>
          </w:p>
          <w:p w14:paraId="1FF1DB35" w14:textId="6BAF8935" w:rsidR="005617AF" w:rsidRDefault="005617AF" w:rsidP="007079E9">
            <w:pPr>
              <w:pStyle w:val="ListParagraph"/>
              <w:numPr>
                <w:ilvl w:val="0"/>
                <w:numId w:val="24"/>
              </w:numPr>
              <w:autoSpaceDE w:val="0"/>
              <w:autoSpaceDN w:val="0"/>
              <w:jc w:val="both"/>
              <w:rPr>
                <w:rFonts w:ascii="Arial" w:hAnsi="Arial" w:cs="Arial"/>
              </w:rPr>
            </w:pPr>
            <w:r w:rsidRPr="00F81C7D">
              <w:rPr>
                <w:rFonts w:ascii="Arial" w:hAnsi="Arial" w:cs="Arial"/>
              </w:rPr>
              <w:t xml:space="preserve">Planned Utilisation – </w:t>
            </w:r>
            <w:r w:rsidR="00A25F08" w:rsidRPr="00F81C7D">
              <w:rPr>
                <w:rFonts w:ascii="Arial" w:hAnsi="Arial" w:cs="Arial"/>
              </w:rPr>
              <w:t>As per paragraph 4.</w:t>
            </w:r>
            <w:r w:rsidR="00A3766A" w:rsidRPr="00F81C7D">
              <w:rPr>
                <w:rFonts w:ascii="Arial" w:hAnsi="Arial" w:cs="Arial"/>
              </w:rPr>
              <w:t>11</w:t>
            </w:r>
            <w:r w:rsidR="00F549AB">
              <w:rPr>
                <w:rFonts w:ascii="Arial" w:hAnsi="Arial" w:cs="Arial"/>
              </w:rPr>
              <w:t xml:space="preserve"> a)</w:t>
            </w:r>
            <w:r w:rsidR="00A25F08" w:rsidRPr="00F81C7D">
              <w:rPr>
                <w:rFonts w:ascii="Arial" w:hAnsi="Arial" w:cs="Arial"/>
              </w:rPr>
              <w:t xml:space="preserve"> above</w:t>
            </w:r>
            <w:r w:rsidRPr="00F81C7D">
              <w:rPr>
                <w:rFonts w:ascii="Arial" w:hAnsi="Arial" w:cs="Arial"/>
              </w:rPr>
              <w:t>.</w:t>
            </w:r>
          </w:p>
          <w:p w14:paraId="1C7342CB" w14:textId="77777777" w:rsidR="005617AF" w:rsidRPr="00F81C7D" w:rsidRDefault="005617AF" w:rsidP="007079E9">
            <w:pPr>
              <w:pStyle w:val="ListParagraph"/>
              <w:autoSpaceDE w:val="0"/>
              <w:autoSpaceDN w:val="0"/>
              <w:ind w:left="0"/>
              <w:jc w:val="both"/>
              <w:rPr>
                <w:rFonts w:ascii="Arial" w:hAnsi="Arial" w:cs="Arial"/>
              </w:rPr>
            </w:pPr>
          </w:p>
          <w:p w14:paraId="0CD6249D" w14:textId="77777777" w:rsidR="00A25F08" w:rsidRPr="00F81C7D" w:rsidRDefault="00A25F08" w:rsidP="007079E9">
            <w:pPr>
              <w:pStyle w:val="ListParagraph"/>
              <w:numPr>
                <w:ilvl w:val="0"/>
                <w:numId w:val="27"/>
              </w:numPr>
              <w:autoSpaceDE w:val="0"/>
              <w:autoSpaceDN w:val="0"/>
              <w:jc w:val="both"/>
              <w:rPr>
                <w:rFonts w:ascii="Arial" w:hAnsi="Arial" w:cs="Arial"/>
                <w:u w:val="single"/>
              </w:rPr>
            </w:pPr>
            <w:r w:rsidRPr="00F81C7D">
              <w:rPr>
                <w:rFonts w:ascii="Arial" w:hAnsi="Arial" w:cs="Arial"/>
                <w:u w:val="single"/>
              </w:rPr>
              <w:t xml:space="preserve">Capital Receipts - (Line </w:t>
            </w:r>
            <w:r w:rsidR="00A3766A" w:rsidRPr="00F81C7D">
              <w:rPr>
                <w:rFonts w:ascii="Arial" w:hAnsi="Arial" w:cs="Arial"/>
                <w:u w:val="single"/>
              </w:rPr>
              <w:t>A</w:t>
            </w:r>
            <w:r w:rsidRPr="00F81C7D">
              <w:rPr>
                <w:rFonts w:ascii="Arial" w:hAnsi="Arial" w:cs="Arial"/>
                <w:u w:val="single"/>
              </w:rPr>
              <w:t>2)</w:t>
            </w:r>
          </w:p>
          <w:p w14:paraId="0E475DBA" w14:textId="77777777" w:rsidR="00A25F08" w:rsidRPr="00F81C7D" w:rsidRDefault="00A25F08" w:rsidP="007079E9">
            <w:pPr>
              <w:pStyle w:val="ListParagraph"/>
              <w:ind w:left="0"/>
              <w:rPr>
                <w:rFonts w:ascii="Arial" w:hAnsi="Arial" w:cs="Arial"/>
              </w:rPr>
            </w:pPr>
          </w:p>
          <w:p w14:paraId="62E34F02" w14:textId="0DBB94A7" w:rsidR="00A25F08" w:rsidRPr="00F81C7D" w:rsidRDefault="00A25F08" w:rsidP="007079E9">
            <w:pPr>
              <w:pStyle w:val="ListParagraph"/>
              <w:numPr>
                <w:ilvl w:val="0"/>
                <w:numId w:val="28"/>
              </w:numPr>
              <w:autoSpaceDE w:val="0"/>
              <w:autoSpaceDN w:val="0"/>
              <w:jc w:val="both"/>
              <w:rPr>
                <w:rFonts w:ascii="Arial" w:hAnsi="Arial" w:cs="Arial"/>
              </w:rPr>
            </w:pPr>
            <w:r w:rsidRPr="00F81C7D">
              <w:rPr>
                <w:rFonts w:ascii="Arial" w:hAnsi="Arial" w:cs="Arial"/>
              </w:rPr>
              <w:t xml:space="preserve">Purpose – This is the </w:t>
            </w:r>
            <w:r w:rsidR="005B3415" w:rsidRPr="00F81C7D">
              <w:rPr>
                <w:rFonts w:ascii="Arial" w:hAnsi="Arial" w:cs="Arial"/>
              </w:rPr>
              <w:t>committed fund</w:t>
            </w:r>
            <w:r w:rsidRPr="00F81C7D">
              <w:rPr>
                <w:rFonts w:ascii="Arial" w:hAnsi="Arial" w:cs="Arial"/>
              </w:rPr>
              <w:t xml:space="preserve"> referred in paragraph </w:t>
            </w:r>
            <w:r w:rsidR="008E0F93" w:rsidRPr="00F81C7D">
              <w:rPr>
                <w:rFonts w:ascii="Arial" w:hAnsi="Arial" w:cs="Arial"/>
              </w:rPr>
              <w:t>4.</w:t>
            </w:r>
            <w:r w:rsidR="00926A91" w:rsidRPr="00F81C7D">
              <w:rPr>
                <w:rFonts w:ascii="Arial" w:hAnsi="Arial" w:cs="Arial"/>
              </w:rPr>
              <w:t>11</w:t>
            </w:r>
            <w:r w:rsidR="0035181B">
              <w:rPr>
                <w:rFonts w:ascii="Arial" w:hAnsi="Arial" w:cs="Arial"/>
              </w:rPr>
              <w:t xml:space="preserve"> b)</w:t>
            </w:r>
            <w:r w:rsidRPr="00F81C7D">
              <w:rPr>
                <w:rFonts w:ascii="Arial" w:hAnsi="Arial" w:cs="Arial"/>
              </w:rPr>
              <w:t xml:space="preserve"> above.</w:t>
            </w:r>
          </w:p>
          <w:p w14:paraId="0B471035" w14:textId="77777777" w:rsidR="002C77A0" w:rsidRDefault="00A25F08" w:rsidP="007079E9">
            <w:pPr>
              <w:pStyle w:val="ListParagraph"/>
              <w:numPr>
                <w:ilvl w:val="0"/>
                <w:numId w:val="28"/>
              </w:numPr>
              <w:autoSpaceDE w:val="0"/>
              <w:autoSpaceDN w:val="0"/>
              <w:jc w:val="both"/>
              <w:rPr>
                <w:rFonts w:ascii="Arial" w:hAnsi="Arial" w:cs="Arial"/>
              </w:rPr>
            </w:pPr>
            <w:r w:rsidRPr="00F81C7D">
              <w:rPr>
                <w:rFonts w:ascii="Arial" w:hAnsi="Arial" w:cs="Arial"/>
              </w:rPr>
              <w:t xml:space="preserve">Planned Utilisation – </w:t>
            </w:r>
            <w:r w:rsidR="008E0F93" w:rsidRPr="00F81C7D">
              <w:rPr>
                <w:rFonts w:ascii="Arial" w:hAnsi="Arial" w:cs="Arial"/>
              </w:rPr>
              <w:t>As per paragraph 4.</w:t>
            </w:r>
            <w:r w:rsidR="00926A91" w:rsidRPr="00F81C7D">
              <w:rPr>
                <w:rFonts w:ascii="Arial" w:hAnsi="Arial" w:cs="Arial"/>
              </w:rPr>
              <w:t>11</w:t>
            </w:r>
            <w:r w:rsidR="0035181B">
              <w:rPr>
                <w:rFonts w:ascii="Arial" w:hAnsi="Arial" w:cs="Arial"/>
              </w:rPr>
              <w:t xml:space="preserve"> b)</w:t>
            </w:r>
            <w:r w:rsidRPr="00F81C7D">
              <w:rPr>
                <w:rFonts w:ascii="Arial" w:hAnsi="Arial" w:cs="Arial"/>
              </w:rPr>
              <w:t xml:space="preserve"> above.</w:t>
            </w:r>
          </w:p>
          <w:p w14:paraId="455AE089" w14:textId="551E6CF7" w:rsidR="00236675" w:rsidRPr="00CB12A0" w:rsidRDefault="00236675" w:rsidP="007079E9">
            <w:pPr>
              <w:pStyle w:val="ListParagraph"/>
              <w:autoSpaceDE w:val="0"/>
              <w:autoSpaceDN w:val="0"/>
              <w:jc w:val="both"/>
              <w:rPr>
                <w:rFonts w:ascii="Arial" w:hAnsi="Arial" w:cs="Arial"/>
              </w:rPr>
            </w:pPr>
          </w:p>
        </w:tc>
      </w:tr>
      <w:tr w:rsidR="000167AE" w14:paraId="0B3DB228" w14:textId="77777777" w:rsidTr="000167AE">
        <w:tc>
          <w:tcPr>
            <w:tcW w:w="684" w:type="dxa"/>
            <w:tcBorders>
              <w:top w:val="nil"/>
              <w:bottom w:val="single" w:sz="4" w:space="0" w:color="auto"/>
            </w:tcBorders>
          </w:tcPr>
          <w:p w14:paraId="02463B9F" w14:textId="77777777" w:rsidR="000167AE" w:rsidRDefault="000167AE" w:rsidP="00B53FCB">
            <w:pPr>
              <w:pStyle w:val="ListParagraph"/>
              <w:ind w:left="0"/>
              <w:rPr>
                <w:rFonts w:ascii="Arial" w:hAnsi="Arial" w:cs="Arial"/>
                <w:b/>
              </w:rPr>
            </w:pPr>
          </w:p>
        </w:tc>
        <w:tc>
          <w:tcPr>
            <w:tcW w:w="8376" w:type="dxa"/>
            <w:tcBorders>
              <w:top w:val="nil"/>
              <w:bottom w:val="single" w:sz="4" w:space="0" w:color="auto"/>
            </w:tcBorders>
          </w:tcPr>
          <w:p w14:paraId="5B69F736" w14:textId="77777777" w:rsidR="000167AE" w:rsidRPr="00F81C7D" w:rsidRDefault="000167AE" w:rsidP="007079E9">
            <w:pPr>
              <w:spacing w:after="0" w:line="240" w:lineRule="auto"/>
              <w:jc w:val="both"/>
              <w:rPr>
                <w:rFonts w:ascii="Arial" w:hAnsi="Arial" w:cs="Arial"/>
                <w:b/>
                <w:sz w:val="24"/>
                <w:szCs w:val="24"/>
                <w:u w:val="single"/>
              </w:rPr>
            </w:pPr>
          </w:p>
        </w:tc>
      </w:tr>
      <w:tr w:rsidR="00F5207B" w14:paraId="79457D61" w14:textId="77777777" w:rsidTr="000167AE">
        <w:tc>
          <w:tcPr>
            <w:tcW w:w="684" w:type="dxa"/>
            <w:tcBorders>
              <w:top w:val="single" w:sz="4" w:space="0" w:color="auto"/>
            </w:tcBorders>
          </w:tcPr>
          <w:p w14:paraId="148CE48E" w14:textId="77777777" w:rsidR="00F5207B" w:rsidRDefault="00A25F08">
            <w:pPr>
              <w:spacing w:after="0"/>
              <w:rPr>
                <w:rFonts w:ascii="Arial" w:hAnsi="Arial" w:cs="Arial"/>
                <w:b/>
                <w:sz w:val="24"/>
                <w:szCs w:val="24"/>
              </w:rPr>
            </w:pPr>
            <w:r>
              <w:rPr>
                <w:rFonts w:ascii="Arial" w:hAnsi="Arial" w:cs="Arial"/>
                <w:b/>
                <w:sz w:val="24"/>
                <w:szCs w:val="24"/>
              </w:rPr>
              <w:t>5</w:t>
            </w:r>
            <w:r w:rsidR="00F5207B">
              <w:rPr>
                <w:rFonts w:ascii="Arial" w:hAnsi="Arial" w:cs="Arial"/>
                <w:b/>
                <w:sz w:val="24"/>
                <w:szCs w:val="24"/>
              </w:rPr>
              <w:t>.</w:t>
            </w:r>
          </w:p>
          <w:p w14:paraId="7C28E649" w14:textId="77777777" w:rsidR="00F5207B" w:rsidRDefault="00A25F08">
            <w:pPr>
              <w:spacing w:after="0"/>
              <w:rPr>
                <w:rFonts w:ascii="Arial" w:hAnsi="Arial" w:cs="Arial"/>
                <w:sz w:val="24"/>
                <w:szCs w:val="24"/>
              </w:rPr>
            </w:pPr>
            <w:r>
              <w:rPr>
                <w:rFonts w:ascii="Arial" w:hAnsi="Arial" w:cs="Arial"/>
                <w:sz w:val="24"/>
                <w:szCs w:val="24"/>
              </w:rPr>
              <w:t>5</w:t>
            </w:r>
            <w:r w:rsidR="00F5207B">
              <w:rPr>
                <w:rFonts w:ascii="Arial" w:hAnsi="Arial" w:cs="Arial"/>
                <w:sz w:val="24"/>
                <w:szCs w:val="24"/>
              </w:rPr>
              <w:t>.1</w:t>
            </w:r>
          </w:p>
          <w:p w14:paraId="48178265" w14:textId="77777777" w:rsidR="00F5207B" w:rsidRDefault="00F5207B">
            <w:pPr>
              <w:spacing w:after="0"/>
              <w:rPr>
                <w:rFonts w:ascii="Arial" w:hAnsi="Arial" w:cs="Arial"/>
                <w:sz w:val="24"/>
                <w:szCs w:val="24"/>
              </w:rPr>
            </w:pPr>
          </w:p>
          <w:p w14:paraId="48F22A8B" w14:textId="77777777" w:rsidR="00F5207B" w:rsidRDefault="00F5207B">
            <w:pPr>
              <w:spacing w:after="0"/>
              <w:rPr>
                <w:rFonts w:ascii="Arial" w:hAnsi="Arial" w:cs="Arial"/>
                <w:sz w:val="24"/>
                <w:szCs w:val="24"/>
              </w:rPr>
            </w:pPr>
          </w:p>
          <w:p w14:paraId="0D56E5C6" w14:textId="77777777" w:rsidR="00F5207B" w:rsidRDefault="00F5207B">
            <w:pPr>
              <w:spacing w:after="0"/>
              <w:rPr>
                <w:rFonts w:ascii="Arial" w:hAnsi="Arial" w:cs="Arial"/>
                <w:sz w:val="24"/>
                <w:szCs w:val="24"/>
              </w:rPr>
            </w:pPr>
          </w:p>
          <w:p w14:paraId="59B99726" w14:textId="77777777" w:rsidR="00F5207B" w:rsidRDefault="00867AC6">
            <w:pPr>
              <w:spacing w:after="0"/>
              <w:rPr>
                <w:rFonts w:ascii="Arial" w:hAnsi="Arial" w:cs="Arial"/>
                <w:sz w:val="24"/>
                <w:szCs w:val="24"/>
              </w:rPr>
            </w:pPr>
            <w:r>
              <w:rPr>
                <w:rFonts w:ascii="Arial" w:hAnsi="Arial" w:cs="Arial"/>
                <w:sz w:val="24"/>
                <w:szCs w:val="24"/>
              </w:rPr>
              <w:t>5</w:t>
            </w:r>
            <w:r w:rsidR="00F5207B">
              <w:rPr>
                <w:rFonts w:ascii="Arial" w:hAnsi="Arial" w:cs="Arial"/>
                <w:sz w:val="24"/>
                <w:szCs w:val="24"/>
              </w:rPr>
              <w:t>.2</w:t>
            </w:r>
          </w:p>
          <w:p w14:paraId="3FE86BD0" w14:textId="77777777" w:rsidR="00867AC6" w:rsidRDefault="00867AC6">
            <w:pPr>
              <w:spacing w:after="0"/>
              <w:rPr>
                <w:rFonts w:ascii="Arial" w:hAnsi="Arial" w:cs="Arial"/>
                <w:sz w:val="24"/>
                <w:szCs w:val="24"/>
              </w:rPr>
            </w:pPr>
          </w:p>
          <w:p w14:paraId="1E2A7FE2" w14:textId="70EC6B88" w:rsidR="00867AC6" w:rsidRDefault="00867AC6">
            <w:pPr>
              <w:spacing w:after="0"/>
              <w:rPr>
                <w:rFonts w:ascii="Arial" w:hAnsi="Arial" w:cs="Arial"/>
                <w:sz w:val="24"/>
                <w:szCs w:val="24"/>
              </w:rPr>
            </w:pPr>
          </w:p>
          <w:p w14:paraId="38E63239" w14:textId="77777777" w:rsidR="00642DF6" w:rsidRDefault="00642DF6">
            <w:pPr>
              <w:spacing w:after="0"/>
              <w:rPr>
                <w:rFonts w:ascii="Arial" w:hAnsi="Arial" w:cs="Arial"/>
                <w:sz w:val="24"/>
                <w:szCs w:val="24"/>
              </w:rPr>
            </w:pPr>
          </w:p>
          <w:p w14:paraId="5F78C2D0" w14:textId="77777777" w:rsidR="00867AC6" w:rsidRDefault="00867AC6">
            <w:pPr>
              <w:spacing w:after="0"/>
              <w:rPr>
                <w:rFonts w:ascii="Arial" w:hAnsi="Arial" w:cs="Arial"/>
                <w:sz w:val="24"/>
                <w:szCs w:val="24"/>
              </w:rPr>
            </w:pPr>
            <w:r>
              <w:rPr>
                <w:rFonts w:ascii="Arial" w:hAnsi="Arial" w:cs="Arial"/>
                <w:sz w:val="24"/>
                <w:szCs w:val="24"/>
              </w:rPr>
              <w:t>5.3</w:t>
            </w:r>
          </w:p>
          <w:p w14:paraId="36D68ADE" w14:textId="77777777" w:rsidR="00F5207B" w:rsidRDefault="00F5207B">
            <w:pPr>
              <w:spacing w:after="0"/>
              <w:rPr>
                <w:rFonts w:ascii="Arial" w:hAnsi="Arial" w:cs="Arial"/>
                <w:sz w:val="24"/>
                <w:szCs w:val="24"/>
              </w:rPr>
            </w:pPr>
          </w:p>
          <w:p w14:paraId="5F9A304D" w14:textId="77777777" w:rsidR="00F5207B" w:rsidRDefault="00F5207B">
            <w:pPr>
              <w:spacing w:after="0"/>
              <w:rPr>
                <w:rFonts w:ascii="Arial" w:hAnsi="Arial" w:cs="Arial"/>
                <w:sz w:val="24"/>
                <w:szCs w:val="24"/>
              </w:rPr>
            </w:pPr>
          </w:p>
          <w:p w14:paraId="393BE904" w14:textId="77777777" w:rsidR="00F5207B" w:rsidRDefault="00F5207B">
            <w:pPr>
              <w:spacing w:after="0"/>
              <w:rPr>
                <w:rFonts w:ascii="Arial" w:hAnsi="Arial" w:cs="Arial"/>
                <w:sz w:val="24"/>
                <w:szCs w:val="24"/>
              </w:rPr>
            </w:pPr>
          </w:p>
          <w:p w14:paraId="4A671FA3" w14:textId="77777777" w:rsidR="00F5207B" w:rsidRDefault="00F5207B">
            <w:pPr>
              <w:spacing w:after="0"/>
              <w:rPr>
                <w:rFonts w:ascii="Arial" w:hAnsi="Arial" w:cs="Arial"/>
                <w:sz w:val="24"/>
                <w:szCs w:val="24"/>
              </w:rPr>
            </w:pPr>
          </w:p>
          <w:p w14:paraId="71357A3E" w14:textId="77777777" w:rsidR="00F5207B" w:rsidRDefault="00F5207B">
            <w:pPr>
              <w:spacing w:after="0"/>
              <w:rPr>
                <w:rFonts w:ascii="Arial" w:hAnsi="Arial" w:cs="Arial"/>
                <w:sz w:val="24"/>
                <w:szCs w:val="24"/>
              </w:rPr>
            </w:pPr>
          </w:p>
          <w:p w14:paraId="2B9F880C" w14:textId="77777777" w:rsidR="00F5207B" w:rsidRDefault="00F5207B">
            <w:pPr>
              <w:spacing w:after="0"/>
              <w:rPr>
                <w:rFonts w:ascii="Arial" w:hAnsi="Arial" w:cs="Arial"/>
                <w:sz w:val="24"/>
                <w:szCs w:val="24"/>
              </w:rPr>
            </w:pPr>
          </w:p>
          <w:p w14:paraId="22330103" w14:textId="77777777" w:rsidR="00F5207B" w:rsidRDefault="00F5207B">
            <w:pPr>
              <w:spacing w:after="0"/>
              <w:rPr>
                <w:rFonts w:ascii="Arial" w:hAnsi="Arial" w:cs="Arial"/>
                <w:sz w:val="24"/>
                <w:szCs w:val="24"/>
              </w:rPr>
            </w:pPr>
          </w:p>
          <w:p w14:paraId="19BAA2F7" w14:textId="77777777" w:rsidR="00F5207B" w:rsidRDefault="00F5207B">
            <w:pPr>
              <w:spacing w:after="0"/>
              <w:rPr>
                <w:rFonts w:ascii="Arial" w:hAnsi="Arial" w:cs="Arial"/>
                <w:sz w:val="24"/>
                <w:szCs w:val="24"/>
              </w:rPr>
            </w:pPr>
          </w:p>
          <w:p w14:paraId="280A8D29" w14:textId="77777777" w:rsidR="00F5207B" w:rsidRDefault="00F5207B">
            <w:pPr>
              <w:spacing w:after="0"/>
              <w:rPr>
                <w:rFonts w:ascii="Arial" w:hAnsi="Arial" w:cs="Arial"/>
                <w:sz w:val="24"/>
                <w:szCs w:val="24"/>
              </w:rPr>
            </w:pPr>
          </w:p>
          <w:p w14:paraId="37D636E9" w14:textId="77777777" w:rsidR="00F5207B" w:rsidRDefault="00F5207B">
            <w:pPr>
              <w:spacing w:after="0"/>
              <w:rPr>
                <w:rFonts w:ascii="Arial" w:hAnsi="Arial" w:cs="Arial"/>
                <w:sz w:val="24"/>
                <w:szCs w:val="24"/>
              </w:rPr>
            </w:pPr>
          </w:p>
        </w:tc>
        <w:tc>
          <w:tcPr>
            <w:tcW w:w="8376" w:type="dxa"/>
            <w:tcBorders>
              <w:top w:val="single" w:sz="4" w:space="0" w:color="auto"/>
            </w:tcBorders>
          </w:tcPr>
          <w:p w14:paraId="30055A65" w14:textId="77777777" w:rsidR="00F5207B" w:rsidRPr="00B21147" w:rsidRDefault="00F5207B">
            <w:pPr>
              <w:spacing w:after="0"/>
              <w:jc w:val="both"/>
              <w:rPr>
                <w:rFonts w:ascii="Arial" w:hAnsi="Arial" w:cs="Arial"/>
                <w:b/>
                <w:sz w:val="24"/>
                <w:szCs w:val="24"/>
                <w:u w:val="single"/>
              </w:rPr>
            </w:pPr>
            <w:r w:rsidRPr="00B21147">
              <w:rPr>
                <w:rFonts w:ascii="Arial" w:hAnsi="Arial" w:cs="Arial"/>
                <w:b/>
                <w:sz w:val="24"/>
                <w:szCs w:val="24"/>
                <w:u w:val="single"/>
              </w:rPr>
              <w:t>NEXT STEPS</w:t>
            </w:r>
          </w:p>
          <w:p w14:paraId="58698EAF" w14:textId="77777777" w:rsidR="00F5207B" w:rsidRPr="00B21147" w:rsidRDefault="00F5207B">
            <w:pPr>
              <w:pStyle w:val="ListParagraph"/>
              <w:autoSpaceDE w:val="0"/>
              <w:autoSpaceDN w:val="0"/>
              <w:spacing w:line="276" w:lineRule="auto"/>
              <w:ind w:left="0"/>
              <w:jc w:val="both"/>
              <w:rPr>
                <w:rFonts w:ascii="Arial" w:hAnsi="Arial" w:cs="Arial"/>
              </w:rPr>
            </w:pPr>
            <w:r w:rsidRPr="00B21147">
              <w:rPr>
                <w:rFonts w:ascii="Arial" w:hAnsi="Arial" w:cs="Arial"/>
              </w:rPr>
              <w:t>In discharging their scrutiny duty, this report</w:t>
            </w:r>
            <w:r w:rsidR="00A25F08" w:rsidRPr="00B21147">
              <w:rPr>
                <w:rFonts w:ascii="Arial" w:hAnsi="Arial" w:cs="Arial"/>
              </w:rPr>
              <w:t>ing of the Commissioner’s Reserves</w:t>
            </w:r>
            <w:r w:rsidR="005B3415" w:rsidRPr="00B21147">
              <w:rPr>
                <w:rFonts w:ascii="Arial" w:hAnsi="Arial" w:cs="Arial"/>
              </w:rPr>
              <w:t xml:space="preserve"> and Committed Funds </w:t>
            </w:r>
            <w:r w:rsidR="00A25F08" w:rsidRPr="00B21147">
              <w:rPr>
                <w:rFonts w:ascii="Arial" w:hAnsi="Arial" w:cs="Arial"/>
              </w:rPr>
              <w:t>Strategy</w:t>
            </w:r>
            <w:r w:rsidRPr="00B21147">
              <w:rPr>
                <w:rFonts w:ascii="Arial" w:hAnsi="Arial" w:cs="Arial"/>
              </w:rPr>
              <w:t xml:space="preserve"> will hopefully assist Members in </w:t>
            </w:r>
            <w:r w:rsidR="00867AC6" w:rsidRPr="00B21147">
              <w:rPr>
                <w:rFonts w:ascii="Arial" w:hAnsi="Arial" w:cs="Arial"/>
              </w:rPr>
              <w:t xml:space="preserve">understanding </w:t>
            </w:r>
            <w:r w:rsidRPr="00B21147">
              <w:rPr>
                <w:rFonts w:ascii="Arial" w:hAnsi="Arial" w:cs="Arial"/>
              </w:rPr>
              <w:t xml:space="preserve">the overall financial landscape.  </w:t>
            </w:r>
          </w:p>
          <w:p w14:paraId="6493C00A" w14:textId="77777777" w:rsidR="00F5207B" w:rsidRPr="00B21147" w:rsidRDefault="00F5207B">
            <w:pPr>
              <w:pStyle w:val="ListParagraph"/>
              <w:autoSpaceDE w:val="0"/>
              <w:autoSpaceDN w:val="0"/>
              <w:spacing w:line="276" w:lineRule="auto"/>
              <w:ind w:left="0"/>
              <w:jc w:val="both"/>
              <w:rPr>
                <w:rFonts w:ascii="Arial" w:hAnsi="Arial" w:cs="Arial"/>
              </w:rPr>
            </w:pPr>
          </w:p>
          <w:p w14:paraId="433BAF5A" w14:textId="1238434F" w:rsidR="00642DF6" w:rsidRPr="00B21147" w:rsidRDefault="00867AC6">
            <w:pPr>
              <w:pStyle w:val="ListParagraph"/>
              <w:autoSpaceDE w:val="0"/>
              <w:autoSpaceDN w:val="0"/>
              <w:spacing w:line="276" w:lineRule="auto"/>
              <w:ind w:left="0"/>
              <w:jc w:val="both"/>
              <w:rPr>
                <w:rFonts w:ascii="Arial" w:hAnsi="Arial" w:cs="Arial"/>
              </w:rPr>
            </w:pPr>
            <w:r w:rsidRPr="00B21147">
              <w:rPr>
                <w:rFonts w:ascii="Arial" w:hAnsi="Arial" w:cs="Arial"/>
              </w:rPr>
              <w:t xml:space="preserve">With the </w:t>
            </w:r>
            <w:r w:rsidR="00BD2F90" w:rsidRPr="00B21147">
              <w:rPr>
                <w:rFonts w:ascii="Arial" w:hAnsi="Arial" w:cs="Arial"/>
              </w:rPr>
              <w:t xml:space="preserve">unknowns </w:t>
            </w:r>
            <w:r w:rsidR="003A788A" w:rsidRPr="00B21147">
              <w:rPr>
                <w:rFonts w:ascii="Arial" w:hAnsi="Arial" w:cs="Arial"/>
              </w:rPr>
              <w:t>remaining on the</w:t>
            </w:r>
            <w:r w:rsidR="00F352ED" w:rsidRPr="00B21147">
              <w:rPr>
                <w:rFonts w:ascii="Arial" w:hAnsi="Arial" w:cs="Arial"/>
              </w:rPr>
              <w:t xml:space="preserve"> </w:t>
            </w:r>
            <w:r w:rsidRPr="00B21147">
              <w:rPr>
                <w:rFonts w:ascii="Arial" w:hAnsi="Arial" w:cs="Arial"/>
              </w:rPr>
              <w:t>SR</w:t>
            </w:r>
            <w:r w:rsidR="003A788A" w:rsidRPr="00B21147">
              <w:rPr>
                <w:rFonts w:ascii="Arial" w:hAnsi="Arial" w:cs="Arial"/>
              </w:rPr>
              <w:t xml:space="preserve"> </w:t>
            </w:r>
            <w:r w:rsidR="00BD2F90" w:rsidRPr="00B21147">
              <w:rPr>
                <w:rFonts w:ascii="Arial" w:hAnsi="Arial" w:cs="Arial"/>
              </w:rPr>
              <w:t>and also the impact of the</w:t>
            </w:r>
            <w:r w:rsidRPr="00B21147">
              <w:rPr>
                <w:rFonts w:ascii="Arial" w:hAnsi="Arial" w:cs="Arial"/>
              </w:rPr>
              <w:t xml:space="preserve"> Funding Formula Review, this strategy will be instrumental in stakeholder engagement and any mitigation strategies.</w:t>
            </w:r>
          </w:p>
          <w:p w14:paraId="0C95FBE0" w14:textId="77777777" w:rsidR="00642DF6" w:rsidRPr="00B21147" w:rsidRDefault="00642DF6">
            <w:pPr>
              <w:pStyle w:val="ListParagraph"/>
              <w:autoSpaceDE w:val="0"/>
              <w:autoSpaceDN w:val="0"/>
              <w:spacing w:line="276" w:lineRule="auto"/>
              <w:ind w:left="0"/>
              <w:jc w:val="both"/>
              <w:rPr>
                <w:rFonts w:ascii="Arial" w:hAnsi="Arial" w:cs="Arial"/>
              </w:rPr>
            </w:pPr>
          </w:p>
          <w:p w14:paraId="27CEF7E8" w14:textId="7F96E5DE" w:rsidR="00F5207B" w:rsidRPr="00B21147" w:rsidRDefault="00867AC6">
            <w:pPr>
              <w:pStyle w:val="ListParagraph"/>
              <w:autoSpaceDE w:val="0"/>
              <w:autoSpaceDN w:val="0"/>
              <w:spacing w:line="276" w:lineRule="auto"/>
              <w:ind w:left="0"/>
              <w:jc w:val="both"/>
              <w:rPr>
                <w:rFonts w:ascii="Arial" w:hAnsi="Arial" w:cs="Arial"/>
              </w:rPr>
            </w:pPr>
            <w:r w:rsidRPr="00B21147">
              <w:rPr>
                <w:rFonts w:ascii="Arial" w:hAnsi="Arial" w:cs="Arial"/>
              </w:rPr>
              <w:t>Furthermore, a</w:t>
            </w:r>
            <w:r w:rsidR="00F5207B" w:rsidRPr="00B21147">
              <w:rPr>
                <w:rFonts w:ascii="Arial" w:hAnsi="Arial" w:cs="Arial"/>
              </w:rPr>
              <w:t xml:space="preserve">t the </w:t>
            </w:r>
            <w:r w:rsidR="0057702B" w:rsidRPr="00B21147">
              <w:rPr>
                <w:rFonts w:ascii="Arial" w:hAnsi="Arial" w:cs="Arial"/>
              </w:rPr>
              <w:t>202</w:t>
            </w:r>
            <w:r w:rsidR="00906044">
              <w:rPr>
                <w:rFonts w:ascii="Arial" w:hAnsi="Arial" w:cs="Arial"/>
              </w:rPr>
              <w:t>5</w:t>
            </w:r>
            <w:r w:rsidR="0057702B" w:rsidRPr="00B21147">
              <w:rPr>
                <w:rFonts w:ascii="Arial" w:hAnsi="Arial" w:cs="Arial"/>
              </w:rPr>
              <w:t xml:space="preserve"> </w:t>
            </w:r>
            <w:r w:rsidR="00906044">
              <w:rPr>
                <w:rFonts w:ascii="Arial" w:hAnsi="Arial" w:cs="Arial"/>
              </w:rPr>
              <w:t>January</w:t>
            </w:r>
            <w:r w:rsidR="00F5207B" w:rsidRPr="00B21147">
              <w:rPr>
                <w:rFonts w:ascii="Arial" w:hAnsi="Arial" w:cs="Arial"/>
              </w:rPr>
              <w:t xml:space="preserve"> meeting of the PCP, the Commissioner will present </w:t>
            </w:r>
            <w:r w:rsidR="00D542AA">
              <w:rPr>
                <w:rFonts w:ascii="Arial" w:hAnsi="Arial" w:cs="Arial"/>
              </w:rPr>
              <w:t>the</w:t>
            </w:r>
            <w:r w:rsidR="00F5207B" w:rsidRPr="00B21147">
              <w:rPr>
                <w:rFonts w:ascii="Arial" w:hAnsi="Arial" w:cs="Arial"/>
              </w:rPr>
              <w:t xml:space="preserve"> </w:t>
            </w:r>
            <w:r w:rsidR="00236675" w:rsidRPr="00B21147">
              <w:rPr>
                <w:rFonts w:ascii="Arial" w:hAnsi="Arial" w:cs="Arial"/>
              </w:rPr>
              <w:t>B</w:t>
            </w:r>
            <w:r w:rsidR="00F5207B" w:rsidRPr="00B21147">
              <w:rPr>
                <w:rFonts w:ascii="Arial" w:hAnsi="Arial" w:cs="Arial"/>
              </w:rPr>
              <w:t>udg</w:t>
            </w:r>
            <w:r w:rsidRPr="00B21147">
              <w:rPr>
                <w:rFonts w:ascii="Arial" w:hAnsi="Arial" w:cs="Arial"/>
              </w:rPr>
              <w:t xml:space="preserve">et </w:t>
            </w:r>
            <w:r w:rsidR="00034898" w:rsidRPr="00B21147">
              <w:rPr>
                <w:rFonts w:ascii="Arial" w:hAnsi="Arial" w:cs="Arial"/>
              </w:rPr>
              <w:t xml:space="preserve">Requirement </w:t>
            </w:r>
            <w:r w:rsidRPr="00B21147">
              <w:rPr>
                <w:rFonts w:ascii="Arial" w:hAnsi="Arial" w:cs="Arial"/>
              </w:rPr>
              <w:t xml:space="preserve">and </w:t>
            </w:r>
            <w:r w:rsidR="00034898" w:rsidRPr="00B21147">
              <w:rPr>
                <w:rFonts w:ascii="Arial" w:hAnsi="Arial" w:cs="Arial"/>
              </w:rPr>
              <w:t xml:space="preserve">Council Tax </w:t>
            </w:r>
            <w:r w:rsidR="00236675" w:rsidRPr="00B21147">
              <w:rPr>
                <w:rFonts w:ascii="Arial" w:hAnsi="Arial" w:cs="Arial"/>
              </w:rPr>
              <w:t>P</w:t>
            </w:r>
            <w:r w:rsidRPr="00B21147">
              <w:rPr>
                <w:rFonts w:ascii="Arial" w:hAnsi="Arial" w:cs="Arial"/>
              </w:rPr>
              <w:t xml:space="preserve">recept </w:t>
            </w:r>
            <w:r w:rsidR="00236675" w:rsidRPr="00B21147">
              <w:rPr>
                <w:rFonts w:ascii="Arial" w:hAnsi="Arial" w:cs="Arial"/>
              </w:rPr>
              <w:t>P</w:t>
            </w:r>
            <w:r w:rsidRPr="00B21147">
              <w:rPr>
                <w:rFonts w:ascii="Arial" w:hAnsi="Arial" w:cs="Arial"/>
              </w:rPr>
              <w:t>roposal for 20</w:t>
            </w:r>
            <w:r w:rsidR="002C3593" w:rsidRPr="00B21147">
              <w:rPr>
                <w:rFonts w:ascii="Arial" w:hAnsi="Arial" w:cs="Arial"/>
              </w:rPr>
              <w:t>2</w:t>
            </w:r>
            <w:r w:rsidR="00E367E2">
              <w:rPr>
                <w:rFonts w:ascii="Arial" w:hAnsi="Arial" w:cs="Arial"/>
              </w:rPr>
              <w:t>5</w:t>
            </w:r>
            <w:r w:rsidRPr="00B21147">
              <w:rPr>
                <w:rFonts w:ascii="Arial" w:hAnsi="Arial" w:cs="Arial"/>
              </w:rPr>
              <w:t>/</w:t>
            </w:r>
            <w:r w:rsidR="00254EF3" w:rsidRPr="00B21147">
              <w:rPr>
                <w:rFonts w:ascii="Arial" w:hAnsi="Arial" w:cs="Arial"/>
              </w:rPr>
              <w:t>2</w:t>
            </w:r>
            <w:r w:rsidR="00E367E2">
              <w:rPr>
                <w:rFonts w:ascii="Arial" w:hAnsi="Arial" w:cs="Arial"/>
              </w:rPr>
              <w:t>6</w:t>
            </w:r>
            <w:r w:rsidR="00F5207B" w:rsidRPr="00B21147">
              <w:rPr>
                <w:rFonts w:ascii="Arial" w:hAnsi="Arial" w:cs="Arial"/>
              </w:rPr>
              <w:t xml:space="preserve">.  The extent of the Commissioner’s reserves </w:t>
            </w:r>
            <w:r w:rsidR="00BD2F90" w:rsidRPr="00B21147">
              <w:rPr>
                <w:rFonts w:ascii="Arial" w:hAnsi="Arial" w:cs="Arial"/>
              </w:rPr>
              <w:t xml:space="preserve">and committed funds </w:t>
            </w:r>
            <w:r w:rsidR="00F5207B" w:rsidRPr="00B21147">
              <w:rPr>
                <w:rFonts w:ascii="Arial" w:hAnsi="Arial" w:cs="Arial"/>
              </w:rPr>
              <w:t xml:space="preserve">position will be a key component in discussing </w:t>
            </w:r>
            <w:r w:rsidR="005E258F">
              <w:rPr>
                <w:rFonts w:ascii="Arial" w:hAnsi="Arial" w:cs="Arial"/>
              </w:rPr>
              <w:t>the</w:t>
            </w:r>
            <w:r w:rsidR="00F5207B" w:rsidRPr="00B21147">
              <w:rPr>
                <w:rFonts w:ascii="Arial" w:hAnsi="Arial" w:cs="Arial"/>
              </w:rPr>
              <w:t xml:space="preserve"> proposal.  In advance of the </w:t>
            </w:r>
            <w:r w:rsidR="00906044">
              <w:rPr>
                <w:rFonts w:ascii="Arial" w:hAnsi="Arial" w:cs="Arial"/>
              </w:rPr>
              <w:t>January</w:t>
            </w:r>
            <w:r w:rsidR="00F5207B" w:rsidRPr="00B21147">
              <w:rPr>
                <w:rFonts w:ascii="Arial" w:hAnsi="Arial" w:cs="Arial"/>
              </w:rPr>
              <w:t xml:space="preserve"> meeting, in summarising the detailed explanations in Section </w:t>
            </w:r>
            <w:r w:rsidRPr="00B21147">
              <w:rPr>
                <w:rFonts w:ascii="Arial" w:hAnsi="Arial" w:cs="Arial"/>
              </w:rPr>
              <w:t>4</w:t>
            </w:r>
            <w:r w:rsidR="00F5207B" w:rsidRPr="00B21147">
              <w:rPr>
                <w:rFonts w:ascii="Arial" w:hAnsi="Arial" w:cs="Arial"/>
              </w:rPr>
              <w:t xml:space="preserve"> above, the following key messages emerge:</w:t>
            </w:r>
          </w:p>
          <w:p w14:paraId="4A0955AC" w14:textId="77777777" w:rsidR="00F5207B" w:rsidRPr="00B21147" w:rsidRDefault="00F5207B">
            <w:pPr>
              <w:pStyle w:val="ListParagraph"/>
              <w:autoSpaceDE w:val="0"/>
              <w:autoSpaceDN w:val="0"/>
              <w:spacing w:line="276" w:lineRule="auto"/>
              <w:ind w:left="0"/>
              <w:jc w:val="both"/>
              <w:rPr>
                <w:rFonts w:ascii="Arial" w:hAnsi="Arial" w:cs="Arial"/>
              </w:rPr>
            </w:pPr>
          </w:p>
          <w:p w14:paraId="632891E1" w14:textId="4B5051EA" w:rsidR="00867AC6" w:rsidRPr="00AC4358" w:rsidRDefault="00F5207B" w:rsidP="00223CAB">
            <w:pPr>
              <w:pStyle w:val="ListParagraph"/>
              <w:numPr>
                <w:ilvl w:val="0"/>
                <w:numId w:val="5"/>
              </w:numPr>
              <w:autoSpaceDE w:val="0"/>
              <w:autoSpaceDN w:val="0"/>
              <w:spacing w:line="276" w:lineRule="auto"/>
              <w:jc w:val="both"/>
              <w:rPr>
                <w:rFonts w:ascii="Arial" w:hAnsi="Arial" w:cs="Arial"/>
              </w:rPr>
            </w:pPr>
            <w:r w:rsidRPr="00AC4358">
              <w:rPr>
                <w:rFonts w:ascii="Arial" w:hAnsi="Arial" w:cs="Arial"/>
              </w:rPr>
              <w:t>Following the audit of the 20</w:t>
            </w:r>
            <w:r w:rsidR="003A788A" w:rsidRPr="00AC4358">
              <w:rPr>
                <w:rFonts w:ascii="Arial" w:hAnsi="Arial" w:cs="Arial"/>
              </w:rPr>
              <w:t>2</w:t>
            </w:r>
            <w:r w:rsidR="007D58E3" w:rsidRPr="00AC4358">
              <w:rPr>
                <w:rFonts w:ascii="Arial" w:hAnsi="Arial" w:cs="Arial"/>
              </w:rPr>
              <w:t>2</w:t>
            </w:r>
            <w:r w:rsidRPr="00AC4358">
              <w:rPr>
                <w:rFonts w:ascii="Arial" w:hAnsi="Arial" w:cs="Arial"/>
              </w:rPr>
              <w:t>/</w:t>
            </w:r>
            <w:r w:rsidR="002C3593" w:rsidRPr="00AC4358">
              <w:rPr>
                <w:rFonts w:ascii="Arial" w:hAnsi="Arial" w:cs="Arial"/>
              </w:rPr>
              <w:t>2</w:t>
            </w:r>
            <w:r w:rsidR="007D58E3" w:rsidRPr="00AC4358">
              <w:rPr>
                <w:rFonts w:ascii="Arial" w:hAnsi="Arial" w:cs="Arial"/>
              </w:rPr>
              <w:t>3</w:t>
            </w:r>
            <w:r w:rsidRPr="00AC4358">
              <w:rPr>
                <w:rFonts w:ascii="Arial" w:hAnsi="Arial" w:cs="Arial"/>
              </w:rPr>
              <w:t xml:space="preserve"> Statement of Accounts, A</w:t>
            </w:r>
            <w:r w:rsidR="00BD2F90" w:rsidRPr="00AC4358">
              <w:rPr>
                <w:rFonts w:ascii="Arial" w:hAnsi="Arial" w:cs="Arial"/>
              </w:rPr>
              <w:t xml:space="preserve">udit </w:t>
            </w:r>
            <w:r w:rsidR="008A5B00" w:rsidRPr="00AC4358">
              <w:rPr>
                <w:rFonts w:ascii="Arial" w:hAnsi="Arial" w:cs="Arial"/>
              </w:rPr>
              <w:t>Wales</w:t>
            </w:r>
            <w:r w:rsidRPr="00AC4358">
              <w:rPr>
                <w:rFonts w:ascii="Arial" w:hAnsi="Arial" w:cs="Arial"/>
              </w:rPr>
              <w:t xml:space="preserve"> </w:t>
            </w:r>
            <w:r w:rsidR="007D58E3" w:rsidRPr="00AC4358">
              <w:rPr>
                <w:rFonts w:ascii="Arial" w:hAnsi="Arial" w:cs="Arial"/>
              </w:rPr>
              <w:t>w</w:t>
            </w:r>
            <w:r w:rsidR="008A5B00" w:rsidRPr="00AC4358">
              <w:rPr>
                <w:rFonts w:ascii="Arial" w:hAnsi="Arial" w:cs="Arial"/>
              </w:rPr>
              <w:t>e</w:t>
            </w:r>
            <w:r w:rsidR="005768A5" w:rsidRPr="00AC4358">
              <w:rPr>
                <w:rFonts w:ascii="Arial" w:hAnsi="Arial" w:cs="Arial"/>
              </w:rPr>
              <w:t xml:space="preserve">re </w:t>
            </w:r>
            <w:r w:rsidRPr="00AC4358">
              <w:rPr>
                <w:rFonts w:ascii="Arial" w:hAnsi="Arial" w:cs="Arial"/>
              </w:rPr>
              <w:t xml:space="preserve">satisfied </w:t>
            </w:r>
            <w:r w:rsidR="00DE2FF0" w:rsidRPr="00AC4358">
              <w:rPr>
                <w:rFonts w:ascii="Arial" w:hAnsi="Arial" w:cs="Arial"/>
              </w:rPr>
              <w:t xml:space="preserve">that the levels </w:t>
            </w:r>
            <w:r w:rsidR="008276B9" w:rsidRPr="00AC4358">
              <w:rPr>
                <w:rFonts w:ascii="Arial" w:hAnsi="Arial" w:cs="Arial"/>
              </w:rPr>
              <w:t>of the Commissioner’s r</w:t>
            </w:r>
            <w:r w:rsidRPr="00AC4358">
              <w:rPr>
                <w:rFonts w:ascii="Arial" w:hAnsi="Arial" w:cs="Arial"/>
              </w:rPr>
              <w:t>eserves</w:t>
            </w:r>
            <w:r w:rsidR="008276B9" w:rsidRPr="00AC4358">
              <w:rPr>
                <w:rFonts w:ascii="Arial" w:hAnsi="Arial" w:cs="Arial"/>
              </w:rPr>
              <w:t xml:space="preserve"> and committed funds</w:t>
            </w:r>
            <w:r w:rsidR="00DE2FF0" w:rsidRPr="00AC4358">
              <w:rPr>
                <w:rFonts w:ascii="Arial" w:hAnsi="Arial" w:cs="Arial"/>
              </w:rPr>
              <w:t xml:space="preserve"> </w:t>
            </w:r>
            <w:r w:rsidR="00413C94" w:rsidRPr="00AC4358">
              <w:rPr>
                <w:rFonts w:ascii="Arial" w:hAnsi="Arial" w:cs="Arial"/>
              </w:rPr>
              <w:t>position presents no material uncertainties about going concern</w:t>
            </w:r>
            <w:r w:rsidR="00AC4358">
              <w:rPr>
                <w:rFonts w:ascii="Arial" w:hAnsi="Arial" w:cs="Arial"/>
              </w:rPr>
              <w:t xml:space="preserve">.  </w:t>
            </w:r>
            <w:r w:rsidR="00AC4358" w:rsidRPr="00AC4358">
              <w:rPr>
                <w:rFonts w:ascii="Arial" w:hAnsi="Arial" w:cs="Arial"/>
              </w:rPr>
              <w:t>The</w:t>
            </w:r>
            <w:r w:rsidR="00AC4358">
              <w:rPr>
                <w:rFonts w:ascii="Arial" w:hAnsi="Arial" w:cs="Arial"/>
              </w:rPr>
              <w:t xml:space="preserve"> audit of the 2023/24 Statement of Accounts is ongoing at the time of writing, but Audit Wales have made </w:t>
            </w:r>
            <w:r w:rsidR="00906044">
              <w:rPr>
                <w:rFonts w:ascii="Arial" w:hAnsi="Arial" w:cs="Arial"/>
              </w:rPr>
              <w:t xml:space="preserve">no </w:t>
            </w:r>
            <w:r w:rsidR="00AC4358">
              <w:rPr>
                <w:rFonts w:ascii="Arial" w:hAnsi="Arial" w:cs="Arial"/>
              </w:rPr>
              <w:t>representations on this matter to date;</w:t>
            </w:r>
            <w:r w:rsidR="00AC4358" w:rsidRPr="00AC4358">
              <w:rPr>
                <w:rFonts w:ascii="Arial" w:hAnsi="Arial" w:cs="Arial"/>
              </w:rPr>
              <w:t xml:space="preserve"> </w:t>
            </w:r>
          </w:p>
          <w:p w14:paraId="2671623F" w14:textId="4BD637FA" w:rsidR="002A02B8" w:rsidRPr="006075F3" w:rsidRDefault="00F5207B" w:rsidP="00223CAB">
            <w:pPr>
              <w:pStyle w:val="ListParagraph"/>
              <w:numPr>
                <w:ilvl w:val="0"/>
                <w:numId w:val="5"/>
              </w:numPr>
              <w:autoSpaceDE w:val="0"/>
              <w:autoSpaceDN w:val="0"/>
              <w:spacing w:line="276" w:lineRule="auto"/>
              <w:jc w:val="both"/>
              <w:rPr>
                <w:rFonts w:ascii="Arial" w:hAnsi="Arial" w:cs="Arial"/>
              </w:rPr>
            </w:pPr>
            <w:r w:rsidRPr="006075F3">
              <w:rPr>
                <w:rFonts w:ascii="Arial" w:hAnsi="Arial" w:cs="Arial"/>
              </w:rPr>
              <w:t>By the end of the 20</w:t>
            </w:r>
            <w:r w:rsidR="008276B9" w:rsidRPr="006075F3">
              <w:rPr>
                <w:rFonts w:ascii="Arial" w:hAnsi="Arial" w:cs="Arial"/>
              </w:rPr>
              <w:t>2</w:t>
            </w:r>
            <w:r w:rsidR="00AC4358" w:rsidRPr="006075F3">
              <w:rPr>
                <w:rFonts w:ascii="Arial" w:hAnsi="Arial" w:cs="Arial"/>
              </w:rPr>
              <w:t>9</w:t>
            </w:r>
            <w:r w:rsidRPr="006075F3">
              <w:rPr>
                <w:rFonts w:ascii="Arial" w:hAnsi="Arial" w:cs="Arial"/>
              </w:rPr>
              <w:t>/</w:t>
            </w:r>
            <w:r w:rsidR="00AC4358" w:rsidRPr="006075F3">
              <w:rPr>
                <w:rFonts w:ascii="Arial" w:hAnsi="Arial" w:cs="Arial"/>
              </w:rPr>
              <w:t>30</w:t>
            </w:r>
            <w:r w:rsidRPr="006075F3">
              <w:rPr>
                <w:rFonts w:ascii="Arial" w:hAnsi="Arial" w:cs="Arial"/>
              </w:rPr>
              <w:t xml:space="preserve"> financial year, it is forecast that the Commissioner will have reserves </w:t>
            </w:r>
            <w:r w:rsidR="002C3593" w:rsidRPr="006075F3">
              <w:rPr>
                <w:rFonts w:ascii="Arial" w:hAnsi="Arial" w:cs="Arial"/>
              </w:rPr>
              <w:t xml:space="preserve">and committed funds </w:t>
            </w:r>
            <w:r w:rsidRPr="006075F3">
              <w:rPr>
                <w:rFonts w:ascii="Arial" w:hAnsi="Arial" w:cs="Arial"/>
              </w:rPr>
              <w:t>totalling £</w:t>
            </w:r>
            <w:r w:rsidR="00DA70AC" w:rsidRPr="006075F3">
              <w:rPr>
                <w:rFonts w:ascii="Arial" w:hAnsi="Arial" w:cs="Arial"/>
              </w:rPr>
              <w:t>20.971</w:t>
            </w:r>
            <w:r w:rsidRPr="006075F3">
              <w:rPr>
                <w:rFonts w:ascii="Arial" w:hAnsi="Arial" w:cs="Arial"/>
              </w:rPr>
              <w:t>m</w:t>
            </w:r>
            <w:r w:rsidR="002850D3" w:rsidRPr="006075F3">
              <w:rPr>
                <w:rFonts w:ascii="Arial" w:hAnsi="Arial" w:cs="Arial"/>
              </w:rPr>
              <w:t xml:space="preserve"> (</w:t>
            </w:r>
            <w:r w:rsidR="003E5D52" w:rsidRPr="006075F3">
              <w:rPr>
                <w:rFonts w:ascii="Arial" w:hAnsi="Arial" w:cs="Arial"/>
              </w:rPr>
              <w:t>bottom</w:t>
            </w:r>
            <w:r w:rsidR="002850D3" w:rsidRPr="006075F3">
              <w:rPr>
                <w:rFonts w:ascii="Arial" w:hAnsi="Arial" w:cs="Arial"/>
              </w:rPr>
              <w:t xml:space="preserve"> </w:t>
            </w:r>
            <w:r w:rsidR="00000C49" w:rsidRPr="006075F3">
              <w:rPr>
                <w:rFonts w:ascii="Arial" w:hAnsi="Arial" w:cs="Arial"/>
              </w:rPr>
              <w:t>right-hand</w:t>
            </w:r>
            <w:r w:rsidR="002850D3" w:rsidRPr="006075F3">
              <w:rPr>
                <w:rFonts w:ascii="Arial" w:hAnsi="Arial" w:cs="Arial"/>
              </w:rPr>
              <w:t xml:space="preserve"> corner of Appendix </w:t>
            </w:r>
            <w:r w:rsidR="00926A91" w:rsidRPr="006075F3">
              <w:rPr>
                <w:rFonts w:ascii="Arial" w:hAnsi="Arial" w:cs="Arial"/>
              </w:rPr>
              <w:t>2</w:t>
            </w:r>
            <w:r w:rsidR="002850D3" w:rsidRPr="006075F3">
              <w:rPr>
                <w:rFonts w:ascii="Arial" w:hAnsi="Arial" w:cs="Arial"/>
              </w:rPr>
              <w:t xml:space="preserve">) – </w:t>
            </w:r>
            <w:r w:rsidR="002C3593" w:rsidRPr="006075F3">
              <w:rPr>
                <w:rFonts w:ascii="Arial" w:hAnsi="Arial" w:cs="Arial"/>
              </w:rPr>
              <w:t>this assumes however, that the current outstanding future recurrent budgetary imbalance</w:t>
            </w:r>
            <w:r w:rsidR="005E3294" w:rsidRPr="006075F3">
              <w:rPr>
                <w:rFonts w:ascii="Arial" w:hAnsi="Arial" w:cs="Arial"/>
              </w:rPr>
              <w:t xml:space="preserve"> in </w:t>
            </w:r>
            <w:r w:rsidR="002C3593" w:rsidRPr="006075F3">
              <w:rPr>
                <w:rFonts w:ascii="Arial" w:hAnsi="Arial" w:cs="Arial"/>
              </w:rPr>
              <w:t>202</w:t>
            </w:r>
            <w:r w:rsidR="00DA70AC" w:rsidRPr="006075F3">
              <w:rPr>
                <w:rFonts w:ascii="Arial" w:hAnsi="Arial" w:cs="Arial"/>
              </w:rPr>
              <w:t>5</w:t>
            </w:r>
            <w:r w:rsidR="002C3593" w:rsidRPr="006075F3">
              <w:rPr>
                <w:rFonts w:ascii="Arial" w:hAnsi="Arial" w:cs="Arial"/>
              </w:rPr>
              <w:t>/2</w:t>
            </w:r>
            <w:r w:rsidR="00DA70AC" w:rsidRPr="006075F3">
              <w:rPr>
                <w:rFonts w:ascii="Arial" w:hAnsi="Arial" w:cs="Arial"/>
              </w:rPr>
              <w:t xml:space="preserve">6 </w:t>
            </w:r>
            <w:r w:rsidR="006075F3" w:rsidRPr="006075F3">
              <w:rPr>
                <w:rFonts w:ascii="Arial" w:hAnsi="Arial" w:cs="Arial"/>
              </w:rPr>
              <w:t xml:space="preserve">(in entirety) and 2026/27 (partly), as </w:t>
            </w:r>
            <w:r w:rsidR="002C3593" w:rsidRPr="006075F3">
              <w:rPr>
                <w:rFonts w:ascii="Arial" w:hAnsi="Arial" w:cs="Arial"/>
              </w:rPr>
              <w:t xml:space="preserve">highlighted </w:t>
            </w:r>
            <w:r w:rsidR="005E3294" w:rsidRPr="006075F3">
              <w:rPr>
                <w:rFonts w:ascii="Arial" w:hAnsi="Arial" w:cs="Arial"/>
              </w:rPr>
              <w:t>in</w:t>
            </w:r>
            <w:r w:rsidR="002C3593" w:rsidRPr="006075F3">
              <w:rPr>
                <w:rFonts w:ascii="Arial" w:hAnsi="Arial" w:cs="Arial"/>
              </w:rPr>
              <w:t xml:space="preserve"> the MTFP</w:t>
            </w:r>
            <w:r w:rsidR="00956F91" w:rsidRPr="006075F3">
              <w:rPr>
                <w:rFonts w:ascii="Arial" w:hAnsi="Arial" w:cs="Arial"/>
              </w:rPr>
              <w:t>,</w:t>
            </w:r>
            <w:r w:rsidR="002C3593" w:rsidRPr="006075F3">
              <w:rPr>
                <w:rFonts w:ascii="Arial" w:hAnsi="Arial" w:cs="Arial"/>
              </w:rPr>
              <w:t xml:space="preserve"> will be underwritten from reserves and committed funds (Line </w:t>
            </w:r>
            <w:r w:rsidR="00CB12A0" w:rsidRPr="006075F3">
              <w:rPr>
                <w:rFonts w:ascii="Arial" w:hAnsi="Arial" w:cs="Arial"/>
              </w:rPr>
              <w:t>C</w:t>
            </w:r>
            <w:r w:rsidR="002C3593" w:rsidRPr="006075F3">
              <w:rPr>
                <w:rFonts w:ascii="Arial" w:hAnsi="Arial" w:cs="Arial"/>
              </w:rPr>
              <w:t xml:space="preserve">1 in the </w:t>
            </w:r>
            <w:r w:rsidR="00F549AB" w:rsidRPr="006075F3">
              <w:rPr>
                <w:rFonts w:ascii="Arial" w:hAnsi="Arial" w:cs="Arial"/>
              </w:rPr>
              <w:t>C</w:t>
            </w:r>
            <w:r w:rsidR="002C3593" w:rsidRPr="006075F3">
              <w:rPr>
                <w:rFonts w:ascii="Arial" w:hAnsi="Arial" w:cs="Arial"/>
              </w:rPr>
              <w:t xml:space="preserve">ommitted </w:t>
            </w:r>
            <w:r w:rsidR="00CB12A0" w:rsidRPr="006075F3">
              <w:rPr>
                <w:rFonts w:ascii="Arial" w:hAnsi="Arial" w:cs="Arial"/>
              </w:rPr>
              <w:t xml:space="preserve">Earmarked </w:t>
            </w:r>
            <w:r w:rsidR="002C3593" w:rsidRPr="006075F3">
              <w:rPr>
                <w:rFonts w:ascii="Arial" w:hAnsi="Arial" w:cs="Arial"/>
              </w:rPr>
              <w:t xml:space="preserve">Funds </w:t>
            </w:r>
            <w:r w:rsidR="00F549AB" w:rsidRPr="006075F3">
              <w:rPr>
                <w:rFonts w:ascii="Arial" w:hAnsi="Arial" w:cs="Arial"/>
              </w:rPr>
              <w:t xml:space="preserve">Beyond the MTFP </w:t>
            </w:r>
            <w:r w:rsidR="002C3593" w:rsidRPr="006075F3">
              <w:rPr>
                <w:rFonts w:ascii="Arial" w:hAnsi="Arial" w:cs="Arial"/>
              </w:rPr>
              <w:t>Section)</w:t>
            </w:r>
            <w:r w:rsidR="00B21147" w:rsidRPr="006075F3">
              <w:rPr>
                <w:rFonts w:ascii="Arial" w:hAnsi="Arial" w:cs="Arial"/>
              </w:rPr>
              <w:t xml:space="preserve"> if funds are available</w:t>
            </w:r>
            <w:r w:rsidR="002C3593" w:rsidRPr="006075F3">
              <w:rPr>
                <w:rFonts w:ascii="Arial" w:hAnsi="Arial" w:cs="Arial"/>
              </w:rPr>
              <w:t xml:space="preserve">.  As already stipulated, recurrent budgetary imbalances must be found from recurrent efficiencies – </w:t>
            </w:r>
            <w:r w:rsidR="00236675" w:rsidRPr="006075F3">
              <w:rPr>
                <w:rFonts w:ascii="Arial" w:hAnsi="Arial" w:cs="Arial"/>
              </w:rPr>
              <w:t>r</w:t>
            </w:r>
            <w:r w:rsidR="002C3593" w:rsidRPr="006075F3">
              <w:rPr>
                <w:rFonts w:ascii="Arial" w:hAnsi="Arial" w:cs="Arial"/>
              </w:rPr>
              <w:t xml:space="preserve">eserves and committed funds should only be utilised to manage annual timing differences.  </w:t>
            </w:r>
          </w:p>
          <w:p w14:paraId="66D2C7E0" w14:textId="46BF1398" w:rsidR="005768A5" w:rsidRPr="00B21147" w:rsidRDefault="00AB5221"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T</w:t>
            </w:r>
            <w:r w:rsidR="00F5207B" w:rsidRPr="00B21147">
              <w:rPr>
                <w:rFonts w:ascii="Arial" w:hAnsi="Arial" w:cs="Arial"/>
              </w:rPr>
              <w:t xml:space="preserve">aking into account </w:t>
            </w:r>
            <w:r w:rsidR="002A02B8" w:rsidRPr="00B21147">
              <w:rPr>
                <w:rFonts w:ascii="Arial" w:hAnsi="Arial" w:cs="Arial"/>
              </w:rPr>
              <w:t xml:space="preserve">the CFO’s judgement </w:t>
            </w:r>
            <w:r w:rsidR="005768A5" w:rsidRPr="00B21147">
              <w:rPr>
                <w:rFonts w:ascii="Arial" w:hAnsi="Arial" w:cs="Arial"/>
              </w:rPr>
              <w:t>(</w:t>
            </w:r>
            <w:r w:rsidR="002A02B8" w:rsidRPr="00B21147">
              <w:rPr>
                <w:rFonts w:ascii="Arial" w:hAnsi="Arial" w:cs="Arial"/>
              </w:rPr>
              <w:t>based on relevant local circumstance</w:t>
            </w:r>
            <w:r w:rsidR="005768A5" w:rsidRPr="00B21147">
              <w:rPr>
                <w:rFonts w:ascii="Arial" w:hAnsi="Arial" w:cs="Arial"/>
              </w:rPr>
              <w:t>)</w:t>
            </w:r>
            <w:r w:rsidR="002A02B8" w:rsidRPr="00B21147">
              <w:rPr>
                <w:rFonts w:ascii="Arial" w:hAnsi="Arial" w:cs="Arial"/>
              </w:rPr>
              <w:t xml:space="preserve">, </w:t>
            </w:r>
            <w:r w:rsidR="005768A5" w:rsidRPr="00B21147">
              <w:rPr>
                <w:rFonts w:ascii="Arial" w:hAnsi="Arial" w:cs="Arial"/>
              </w:rPr>
              <w:t>that</w:t>
            </w:r>
            <w:r w:rsidR="002A02B8" w:rsidRPr="00B21147">
              <w:rPr>
                <w:rFonts w:ascii="Arial" w:hAnsi="Arial" w:cs="Arial"/>
              </w:rPr>
              <w:t xml:space="preserve"> a General Reserve of £</w:t>
            </w:r>
            <w:r w:rsidRPr="00B21147">
              <w:rPr>
                <w:rFonts w:ascii="Arial" w:hAnsi="Arial" w:cs="Arial"/>
              </w:rPr>
              <w:t>5</w:t>
            </w:r>
            <w:r w:rsidR="002A02B8" w:rsidRPr="00B21147">
              <w:rPr>
                <w:rFonts w:ascii="Arial" w:hAnsi="Arial" w:cs="Arial"/>
              </w:rPr>
              <w:t>.</w:t>
            </w:r>
            <w:r w:rsidR="00AC4358">
              <w:rPr>
                <w:rFonts w:ascii="Arial" w:hAnsi="Arial" w:cs="Arial"/>
              </w:rPr>
              <w:t>5</w:t>
            </w:r>
            <w:r w:rsidRPr="00B21147">
              <w:rPr>
                <w:rFonts w:ascii="Arial" w:hAnsi="Arial" w:cs="Arial"/>
              </w:rPr>
              <w:t>0</w:t>
            </w:r>
            <w:r w:rsidR="002A02B8" w:rsidRPr="00B21147">
              <w:rPr>
                <w:rFonts w:ascii="Arial" w:hAnsi="Arial" w:cs="Arial"/>
              </w:rPr>
              <w:t>0m should be held</w:t>
            </w:r>
            <w:r w:rsidR="00CF40AA" w:rsidRPr="00B21147">
              <w:rPr>
                <w:rFonts w:ascii="Arial" w:hAnsi="Arial" w:cs="Arial"/>
              </w:rPr>
              <w:t xml:space="preserve"> – this leaves a committed funds balance of £</w:t>
            </w:r>
            <w:r w:rsidR="006075F3">
              <w:rPr>
                <w:rFonts w:ascii="Arial" w:hAnsi="Arial" w:cs="Arial"/>
              </w:rPr>
              <w:t>15</w:t>
            </w:r>
            <w:r w:rsidR="00CF40AA" w:rsidRPr="006075F3">
              <w:rPr>
                <w:rFonts w:ascii="Arial" w:hAnsi="Arial" w:cs="Arial"/>
              </w:rPr>
              <w:t>.</w:t>
            </w:r>
            <w:r w:rsidR="006075F3" w:rsidRPr="006075F3">
              <w:rPr>
                <w:rFonts w:ascii="Arial" w:hAnsi="Arial" w:cs="Arial"/>
              </w:rPr>
              <w:t>471</w:t>
            </w:r>
            <w:r w:rsidR="00CF40AA" w:rsidRPr="006075F3">
              <w:rPr>
                <w:rFonts w:ascii="Arial" w:hAnsi="Arial" w:cs="Arial"/>
              </w:rPr>
              <w:t>m</w:t>
            </w:r>
            <w:r w:rsidR="006075F3">
              <w:rPr>
                <w:rFonts w:ascii="Arial" w:hAnsi="Arial" w:cs="Arial"/>
              </w:rPr>
              <w:t>.  £5.80</w:t>
            </w:r>
            <w:r w:rsidR="000D088C">
              <w:rPr>
                <w:rFonts w:ascii="Arial" w:hAnsi="Arial" w:cs="Arial"/>
              </w:rPr>
              <w:t>3</w:t>
            </w:r>
            <w:r w:rsidR="006075F3">
              <w:rPr>
                <w:rFonts w:ascii="Arial" w:hAnsi="Arial" w:cs="Arial"/>
              </w:rPr>
              <w:t xml:space="preserve">m of this lies within the section of committed funds that are required within the current MTFP.  This figure represents the cumulative unused balance of Revenue Contribution to Capital, which is currently forecast to accrue into the future until the Commissioner’s Estate Strategy (which is currently paused and under review) provides the future significant Estate capital needs of policing over the medium to long term.  When the new Estate Strategy is finalised, and the subsequent medium-term Capital Programme known, this accrued element of Revenue Contribution to Capital will be fully utilised. The </w:t>
            </w:r>
            <w:r w:rsidR="00B77192">
              <w:rPr>
                <w:rFonts w:ascii="Arial" w:hAnsi="Arial" w:cs="Arial"/>
              </w:rPr>
              <w:t>balance</w:t>
            </w:r>
            <w:r w:rsidR="006075F3">
              <w:rPr>
                <w:rFonts w:ascii="Arial" w:hAnsi="Arial" w:cs="Arial"/>
              </w:rPr>
              <w:t xml:space="preserve"> of </w:t>
            </w:r>
            <w:r w:rsidR="000D088C">
              <w:rPr>
                <w:rFonts w:ascii="Arial" w:hAnsi="Arial" w:cs="Arial"/>
              </w:rPr>
              <w:t>f</w:t>
            </w:r>
            <w:r w:rsidR="006075F3">
              <w:rPr>
                <w:rFonts w:ascii="Arial" w:hAnsi="Arial" w:cs="Arial"/>
              </w:rPr>
              <w:t>unds, (£9.668m)</w:t>
            </w:r>
            <w:r w:rsidR="005768A5" w:rsidRPr="00B21147">
              <w:rPr>
                <w:rFonts w:ascii="Arial" w:hAnsi="Arial" w:cs="Arial"/>
              </w:rPr>
              <w:t xml:space="preserve"> equates to those committed </w:t>
            </w:r>
            <w:r w:rsidR="005768A5" w:rsidRPr="00B21147">
              <w:rPr>
                <w:rFonts w:ascii="Arial" w:hAnsi="Arial" w:cs="Arial"/>
              </w:rPr>
              <w:lastRenderedPageBreak/>
              <w:t>funds that are required beyond the current MTFP</w:t>
            </w:r>
            <w:r w:rsidR="006075F3">
              <w:rPr>
                <w:rFonts w:ascii="Arial" w:hAnsi="Arial" w:cs="Arial"/>
              </w:rPr>
              <w:t xml:space="preserve">; </w:t>
            </w:r>
            <w:r w:rsidR="00B77192">
              <w:rPr>
                <w:rFonts w:ascii="Arial" w:hAnsi="Arial" w:cs="Arial"/>
              </w:rPr>
              <w:t>relating</w:t>
            </w:r>
            <w:r w:rsidR="006075F3">
              <w:rPr>
                <w:rFonts w:ascii="Arial" w:hAnsi="Arial" w:cs="Arial"/>
              </w:rPr>
              <w:t xml:space="preserve"> to</w:t>
            </w:r>
            <w:r w:rsidR="000D088C">
              <w:rPr>
                <w:rFonts w:ascii="Arial" w:hAnsi="Arial" w:cs="Arial"/>
              </w:rPr>
              <w:t xml:space="preserve"> the</w:t>
            </w:r>
            <w:r w:rsidR="006075F3">
              <w:rPr>
                <w:rFonts w:ascii="Arial" w:hAnsi="Arial" w:cs="Arial"/>
              </w:rPr>
              <w:t xml:space="preserve"> </w:t>
            </w:r>
            <w:r w:rsidR="00B77192">
              <w:rPr>
                <w:rFonts w:ascii="Arial" w:hAnsi="Arial" w:cs="Arial"/>
              </w:rPr>
              <w:t>Commissioning Strategy and Force Initiatives pump-priming</w:t>
            </w:r>
            <w:r w:rsidR="00926A91" w:rsidRPr="00B21147">
              <w:rPr>
                <w:rFonts w:ascii="Arial" w:hAnsi="Arial" w:cs="Arial"/>
              </w:rPr>
              <w:t>;</w:t>
            </w:r>
            <w:r w:rsidR="00B77192">
              <w:rPr>
                <w:rFonts w:ascii="Arial" w:hAnsi="Arial" w:cs="Arial"/>
              </w:rPr>
              <w:t xml:space="preserve"> Airwave/ESN replacements; and Workstream specific committed funds;</w:t>
            </w:r>
          </w:p>
          <w:p w14:paraId="3F4AD708" w14:textId="04B4865E" w:rsidR="00B952C6" w:rsidRPr="00B21147" w:rsidRDefault="009562D3" w:rsidP="00223CAB">
            <w:pPr>
              <w:pStyle w:val="ListParagraph"/>
              <w:numPr>
                <w:ilvl w:val="0"/>
                <w:numId w:val="5"/>
              </w:numPr>
              <w:autoSpaceDE w:val="0"/>
              <w:autoSpaceDN w:val="0"/>
              <w:spacing w:line="276" w:lineRule="auto"/>
              <w:jc w:val="both"/>
              <w:rPr>
                <w:rFonts w:ascii="Arial" w:hAnsi="Arial" w:cs="Arial"/>
              </w:rPr>
            </w:pPr>
            <w:r>
              <w:rPr>
                <w:rFonts w:ascii="Arial" w:hAnsi="Arial" w:cs="Arial"/>
              </w:rPr>
              <w:t>T</w:t>
            </w:r>
            <w:r w:rsidR="005768A5" w:rsidRPr="00B21147">
              <w:rPr>
                <w:rFonts w:ascii="Arial" w:hAnsi="Arial" w:cs="Arial"/>
              </w:rPr>
              <w:t>he committed funds set aside t</w:t>
            </w:r>
            <w:r w:rsidR="00926A91" w:rsidRPr="00B21147">
              <w:rPr>
                <w:rFonts w:ascii="Arial" w:hAnsi="Arial" w:cs="Arial"/>
              </w:rPr>
              <w:t>o fund the current Capital Prog</w:t>
            </w:r>
            <w:r w:rsidR="005768A5" w:rsidRPr="00B21147">
              <w:rPr>
                <w:rFonts w:ascii="Arial" w:hAnsi="Arial" w:cs="Arial"/>
              </w:rPr>
              <w:t>r</w:t>
            </w:r>
            <w:r w:rsidR="00926A91" w:rsidRPr="00B21147">
              <w:rPr>
                <w:rFonts w:ascii="Arial" w:hAnsi="Arial" w:cs="Arial"/>
              </w:rPr>
              <w:t>a</w:t>
            </w:r>
            <w:r w:rsidR="005768A5" w:rsidRPr="00B21147">
              <w:rPr>
                <w:rFonts w:ascii="Arial" w:hAnsi="Arial" w:cs="Arial"/>
              </w:rPr>
              <w:t xml:space="preserve">mme </w:t>
            </w:r>
            <w:r w:rsidR="00AC4358">
              <w:rPr>
                <w:rFonts w:ascii="Arial" w:hAnsi="Arial" w:cs="Arial"/>
              </w:rPr>
              <w:t>w</w:t>
            </w:r>
            <w:r w:rsidR="000D088C">
              <w:rPr>
                <w:rFonts w:ascii="Arial" w:hAnsi="Arial" w:cs="Arial"/>
              </w:rPr>
              <w:t>ill be</w:t>
            </w:r>
            <w:r w:rsidR="005768A5" w:rsidRPr="00B21147">
              <w:rPr>
                <w:rFonts w:ascii="Arial" w:hAnsi="Arial" w:cs="Arial"/>
              </w:rPr>
              <w:t xml:space="preserve"> exhausted during 202</w:t>
            </w:r>
            <w:r>
              <w:rPr>
                <w:rFonts w:ascii="Arial" w:hAnsi="Arial" w:cs="Arial"/>
              </w:rPr>
              <w:t>4</w:t>
            </w:r>
            <w:r w:rsidR="005768A5" w:rsidRPr="00B21147">
              <w:rPr>
                <w:rFonts w:ascii="Arial" w:hAnsi="Arial" w:cs="Arial"/>
              </w:rPr>
              <w:t>/2</w:t>
            </w:r>
            <w:r>
              <w:rPr>
                <w:rFonts w:ascii="Arial" w:hAnsi="Arial" w:cs="Arial"/>
              </w:rPr>
              <w:t>5</w:t>
            </w:r>
            <w:r w:rsidR="005768A5" w:rsidRPr="00B21147">
              <w:rPr>
                <w:rFonts w:ascii="Arial" w:hAnsi="Arial" w:cs="Arial"/>
              </w:rPr>
              <w:t>, whereby, the Commissioner face</w:t>
            </w:r>
            <w:r w:rsidR="000D088C">
              <w:rPr>
                <w:rFonts w:ascii="Arial" w:hAnsi="Arial" w:cs="Arial"/>
              </w:rPr>
              <w:t>s</w:t>
            </w:r>
            <w:r w:rsidR="005768A5" w:rsidRPr="00B21147">
              <w:rPr>
                <w:rFonts w:ascii="Arial" w:hAnsi="Arial" w:cs="Arial"/>
              </w:rPr>
              <w:t xml:space="preserve"> the</w:t>
            </w:r>
            <w:r w:rsidR="00926A91" w:rsidRPr="00B21147">
              <w:rPr>
                <w:rFonts w:ascii="Arial" w:hAnsi="Arial" w:cs="Arial"/>
              </w:rPr>
              <w:t xml:space="preserve"> need to borrow moving forward with</w:t>
            </w:r>
            <w:r w:rsidR="005768A5" w:rsidRPr="00B21147">
              <w:rPr>
                <w:rFonts w:ascii="Arial" w:hAnsi="Arial" w:cs="Arial"/>
              </w:rPr>
              <w:t xml:space="preserve"> the </w:t>
            </w:r>
            <w:r w:rsidR="00926A91" w:rsidRPr="00B21147">
              <w:rPr>
                <w:rFonts w:ascii="Arial" w:hAnsi="Arial" w:cs="Arial"/>
              </w:rPr>
              <w:t xml:space="preserve">associated </w:t>
            </w:r>
            <w:r w:rsidR="005768A5" w:rsidRPr="00B21147">
              <w:rPr>
                <w:rFonts w:ascii="Arial" w:hAnsi="Arial" w:cs="Arial"/>
              </w:rPr>
              <w:t xml:space="preserve">impact upon revenue </w:t>
            </w:r>
            <w:r w:rsidR="00926A91" w:rsidRPr="00B21147">
              <w:rPr>
                <w:rFonts w:ascii="Arial" w:hAnsi="Arial" w:cs="Arial"/>
              </w:rPr>
              <w:t xml:space="preserve">budgets </w:t>
            </w:r>
            <w:r w:rsidR="005768A5" w:rsidRPr="00B21147">
              <w:rPr>
                <w:rFonts w:ascii="Arial" w:hAnsi="Arial" w:cs="Arial"/>
              </w:rPr>
              <w:t>within the MT</w:t>
            </w:r>
            <w:r w:rsidR="00926A91" w:rsidRPr="00B21147">
              <w:rPr>
                <w:rFonts w:ascii="Arial" w:hAnsi="Arial" w:cs="Arial"/>
              </w:rPr>
              <w:t>FP;</w:t>
            </w:r>
          </w:p>
          <w:p w14:paraId="35283502" w14:textId="77777777" w:rsidR="00F5207B"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 xml:space="preserve">The </w:t>
            </w:r>
            <w:r w:rsidR="00B952C6" w:rsidRPr="00B21147">
              <w:rPr>
                <w:rFonts w:ascii="Arial" w:hAnsi="Arial" w:cs="Arial"/>
              </w:rPr>
              <w:t>forecast</w:t>
            </w:r>
            <w:r w:rsidRPr="00B21147">
              <w:rPr>
                <w:rFonts w:ascii="Arial" w:hAnsi="Arial" w:cs="Arial"/>
              </w:rPr>
              <w:t xml:space="preserve"> reserve</w:t>
            </w:r>
            <w:r w:rsidR="00B952C6" w:rsidRPr="00B21147">
              <w:rPr>
                <w:rFonts w:ascii="Arial" w:hAnsi="Arial" w:cs="Arial"/>
              </w:rPr>
              <w:t>s</w:t>
            </w:r>
            <w:r w:rsidRPr="00B21147">
              <w:rPr>
                <w:rFonts w:ascii="Arial" w:hAnsi="Arial" w:cs="Arial"/>
              </w:rPr>
              <w:t xml:space="preserve"> </w:t>
            </w:r>
            <w:r w:rsidR="00B952C6" w:rsidRPr="00B21147">
              <w:rPr>
                <w:rFonts w:ascii="Arial" w:hAnsi="Arial" w:cs="Arial"/>
              </w:rPr>
              <w:t xml:space="preserve">and committed </w:t>
            </w:r>
            <w:r w:rsidRPr="00B21147">
              <w:rPr>
                <w:rFonts w:ascii="Arial" w:hAnsi="Arial" w:cs="Arial"/>
              </w:rPr>
              <w:t>position does not take into account the following events which would increase this figure:</w:t>
            </w:r>
          </w:p>
          <w:p w14:paraId="6286652B" w14:textId="77777777" w:rsidR="00B952C6" w:rsidRPr="00B21147" w:rsidRDefault="00F5207B"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Additional sales of capital assets than those already identified;</w:t>
            </w:r>
          </w:p>
          <w:p w14:paraId="58E3FB7C" w14:textId="77777777" w:rsidR="004E3038" w:rsidRPr="00B21147" w:rsidRDefault="00B952C6"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Additional sums from further acceleration of the delivery of efficiency schemes;</w:t>
            </w:r>
            <w:r w:rsidR="00F5207B" w:rsidRPr="00B21147">
              <w:rPr>
                <w:rFonts w:ascii="Arial" w:hAnsi="Arial" w:cs="Arial"/>
              </w:rPr>
              <w:t xml:space="preserve"> and</w:t>
            </w:r>
          </w:p>
          <w:p w14:paraId="3D33AE39" w14:textId="79D87B38" w:rsidR="00F5207B" w:rsidRPr="00B21147" w:rsidRDefault="00F5207B" w:rsidP="00223CAB">
            <w:pPr>
              <w:pStyle w:val="ListParagraph"/>
              <w:numPr>
                <w:ilvl w:val="0"/>
                <w:numId w:val="6"/>
              </w:numPr>
              <w:autoSpaceDE w:val="0"/>
              <w:autoSpaceDN w:val="0"/>
              <w:spacing w:line="276" w:lineRule="auto"/>
              <w:jc w:val="both"/>
              <w:rPr>
                <w:rFonts w:ascii="Arial" w:hAnsi="Arial" w:cs="Arial"/>
              </w:rPr>
            </w:pPr>
            <w:r w:rsidRPr="00B21147">
              <w:rPr>
                <w:rFonts w:ascii="Arial" w:hAnsi="Arial" w:cs="Arial"/>
              </w:rPr>
              <w:t xml:space="preserve">Underspending in the </w:t>
            </w:r>
            <w:r w:rsidR="00236675" w:rsidRPr="00B21147">
              <w:rPr>
                <w:rFonts w:ascii="Arial" w:hAnsi="Arial" w:cs="Arial"/>
              </w:rPr>
              <w:t>C</w:t>
            </w:r>
            <w:r w:rsidRPr="00B21147">
              <w:rPr>
                <w:rFonts w:ascii="Arial" w:hAnsi="Arial" w:cs="Arial"/>
              </w:rPr>
              <w:t xml:space="preserve">apital </w:t>
            </w:r>
            <w:r w:rsidR="00236675" w:rsidRPr="00B21147">
              <w:rPr>
                <w:rFonts w:ascii="Arial" w:hAnsi="Arial" w:cs="Arial"/>
              </w:rPr>
              <w:t>P</w:t>
            </w:r>
            <w:r w:rsidRPr="00B21147">
              <w:rPr>
                <w:rFonts w:ascii="Arial" w:hAnsi="Arial" w:cs="Arial"/>
              </w:rPr>
              <w:t>rogramme or slippage which defers spend to future financial years.</w:t>
            </w:r>
          </w:p>
          <w:p w14:paraId="02AF82F3" w14:textId="77777777" w:rsidR="00F5207B" w:rsidRPr="00B21147" w:rsidRDefault="00F5207B" w:rsidP="00223CAB">
            <w:pPr>
              <w:pStyle w:val="ListParagraph"/>
              <w:numPr>
                <w:ilvl w:val="0"/>
                <w:numId w:val="5"/>
              </w:numPr>
              <w:autoSpaceDE w:val="0"/>
              <w:autoSpaceDN w:val="0"/>
              <w:spacing w:line="276" w:lineRule="auto"/>
              <w:jc w:val="both"/>
              <w:rPr>
                <w:rFonts w:ascii="Arial" w:hAnsi="Arial" w:cs="Arial"/>
              </w:rPr>
            </w:pPr>
            <w:r w:rsidRPr="00B21147">
              <w:rPr>
                <w:rFonts w:ascii="Arial" w:hAnsi="Arial" w:cs="Arial"/>
              </w:rPr>
              <w:t xml:space="preserve">Similarly, the </w:t>
            </w:r>
            <w:r w:rsidR="00B952C6" w:rsidRPr="00B21147">
              <w:rPr>
                <w:rFonts w:ascii="Arial" w:hAnsi="Arial" w:cs="Arial"/>
              </w:rPr>
              <w:t>forecast</w:t>
            </w:r>
            <w:r w:rsidRPr="00B21147">
              <w:rPr>
                <w:rFonts w:ascii="Arial" w:hAnsi="Arial" w:cs="Arial"/>
              </w:rPr>
              <w:t xml:space="preserve"> reserve</w:t>
            </w:r>
            <w:r w:rsidR="00B952C6" w:rsidRPr="00B21147">
              <w:rPr>
                <w:rFonts w:ascii="Arial" w:hAnsi="Arial" w:cs="Arial"/>
              </w:rPr>
              <w:t>s and committed funds</w:t>
            </w:r>
            <w:r w:rsidRPr="00B21147">
              <w:rPr>
                <w:rFonts w:ascii="Arial" w:hAnsi="Arial" w:cs="Arial"/>
              </w:rPr>
              <w:t xml:space="preserve"> position</w:t>
            </w:r>
            <w:r w:rsidR="00B952C6" w:rsidRPr="00B21147">
              <w:rPr>
                <w:rFonts w:ascii="Arial" w:hAnsi="Arial" w:cs="Arial"/>
              </w:rPr>
              <w:t xml:space="preserve"> </w:t>
            </w:r>
            <w:r w:rsidRPr="00B21147">
              <w:rPr>
                <w:rFonts w:ascii="Arial" w:hAnsi="Arial" w:cs="Arial"/>
              </w:rPr>
              <w:t>does not take into account the following events which would further reduce this figure:</w:t>
            </w:r>
          </w:p>
          <w:p w14:paraId="223F4745" w14:textId="137AE812" w:rsidR="004E3038" w:rsidRPr="00B21147" w:rsidRDefault="003E5D52"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The impact on r</w:t>
            </w:r>
            <w:r w:rsidR="004E3038" w:rsidRPr="00B21147">
              <w:rPr>
                <w:rFonts w:ascii="Arial" w:hAnsi="Arial" w:cs="Arial"/>
              </w:rPr>
              <w:t>ese</w:t>
            </w:r>
            <w:r w:rsidRPr="00B21147">
              <w:rPr>
                <w:rFonts w:ascii="Arial" w:hAnsi="Arial" w:cs="Arial"/>
              </w:rPr>
              <w:t>r</w:t>
            </w:r>
            <w:r w:rsidR="004E3038" w:rsidRPr="00B21147">
              <w:rPr>
                <w:rFonts w:ascii="Arial" w:hAnsi="Arial" w:cs="Arial"/>
              </w:rPr>
              <w:t>ves f</w:t>
            </w:r>
            <w:r w:rsidR="00AB5221" w:rsidRPr="00B21147">
              <w:rPr>
                <w:rFonts w:ascii="Arial" w:hAnsi="Arial" w:cs="Arial"/>
              </w:rPr>
              <w:t>rom the</w:t>
            </w:r>
            <w:r w:rsidR="00B952C6" w:rsidRPr="00B21147">
              <w:rPr>
                <w:rFonts w:ascii="Arial" w:hAnsi="Arial" w:cs="Arial"/>
              </w:rPr>
              <w:t xml:space="preserve"> </w:t>
            </w:r>
            <w:r w:rsidR="004E3038" w:rsidRPr="00B21147">
              <w:rPr>
                <w:rFonts w:ascii="Arial" w:hAnsi="Arial" w:cs="Arial"/>
              </w:rPr>
              <w:t>SR</w:t>
            </w:r>
            <w:r w:rsidR="005768A5" w:rsidRPr="00B21147">
              <w:rPr>
                <w:rFonts w:ascii="Arial" w:hAnsi="Arial" w:cs="Arial"/>
              </w:rPr>
              <w:t xml:space="preserve"> </w:t>
            </w:r>
            <w:r w:rsidR="00B952C6" w:rsidRPr="00B21147">
              <w:rPr>
                <w:rFonts w:ascii="Arial" w:hAnsi="Arial" w:cs="Arial"/>
              </w:rPr>
              <w:t xml:space="preserve">or </w:t>
            </w:r>
            <w:r w:rsidR="004E3038" w:rsidRPr="00B21147">
              <w:rPr>
                <w:rFonts w:ascii="Arial" w:hAnsi="Arial" w:cs="Arial"/>
              </w:rPr>
              <w:t xml:space="preserve">any transitioning </w:t>
            </w:r>
            <w:r w:rsidRPr="00B21147">
              <w:rPr>
                <w:rFonts w:ascii="Arial" w:hAnsi="Arial" w:cs="Arial"/>
              </w:rPr>
              <w:t>arrangements</w:t>
            </w:r>
            <w:r w:rsidR="004E3038" w:rsidRPr="00B21147">
              <w:rPr>
                <w:rFonts w:ascii="Arial" w:hAnsi="Arial" w:cs="Arial"/>
              </w:rPr>
              <w:t xml:space="preserve"> to a new Funding Formula allocation;</w:t>
            </w:r>
          </w:p>
          <w:p w14:paraId="709DF53D" w14:textId="6FD198F8" w:rsidR="004E3038" w:rsidRPr="00B21147" w:rsidRDefault="004E3038"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Further</w:t>
            </w:r>
            <w:r w:rsidR="00F5207B" w:rsidRPr="00B21147">
              <w:rPr>
                <w:rFonts w:ascii="Arial" w:hAnsi="Arial" w:cs="Arial"/>
              </w:rPr>
              <w:t xml:space="preserve"> significant investment </w:t>
            </w:r>
            <w:r w:rsidR="00B952C6" w:rsidRPr="00B21147">
              <w:rPr>
                <w:rFonts w:ascii="Arial" w:hAnsi="Arial" w:cs="Arial"/>
              </w:rPr>
              <w:t xml:space="preserve">to deliver </w:t>
            </w:r>
            <w:r w:rsidR="00F5207B" w:rsidRPr="00B21147">
              <w:rPr>
                <w:rFonts w:ascii="Arial" w:hAnsi="Arial" w:cs="Arial"/>
              </w:rPr>
              <w:t xml:space="preserve">the </w:t>
            </w:r>
            <w:r w:rsidR="009562D3">
              <w:rPr>
                <w:rFonts w:ascii="Arial" w:hAnsi="Arial" w:cs="Arial"/>
              </w:rPr>
              <w:t xml:space="preserve">new </w:t>
            </w:r>
            <w:r w:rsidR="00F5207B" w:rsidRPr="00B21147">
              <w:rPr>
                <w:rFonts w:ascii="Arial" w:hAnsi="Arial" w:cs="Arial"/>
              </w:rPr>
              <w:t>Estate</w:t>
            </w:r>
            <w:r w:rsidRPr="00B21147">
              <w:rPr>
                <w:rFonts w:ascii="Arial" w:hAnsi="Arial" w:cs="Arial"/>
              </w:rPr>
              <w:t xml:space="preserve"> </w:t>
            </w:r>
            <w:r w:rsidR="00B952C6" w:rsidRPr="00B21147">
              <w:rPr>
                <w:rFonts w:ascii="Arial" w:hAnsi="Arial" w:cs="Arial"/>
              </w:rPr>
              <w:t>Strategy</w:t>
            </w:r>
            <w:r w:rsidR="005768A5" w:rsidRPr="00B21147">
              <w:rPr>
                <w:rFonts w:ascii="Arial" w:hAnsi="Arial" w:cs="Arial"/>
              </w:rPr>
              <w:t xml:space="preserve"> </w:t>
            </w:r>
            <w:r w:rsidR="00B952C6" w:rsidRPr="00B21147">
              <w:rPr>
                <w:rFonts w:ascii="Arial" w:hAnsi="Arial" w:cs="Arial"/>
              </w:rPr>
              <w:t>and Programme Fusion</w:t>
            </w:r>
            <w:r w:rsidR="00F5207B" w:rsidRPr="00B21147">
              <w:rPr>
                <w:rFonts w:ascii="Arial" w:hAnsi="Arial" w:cs="Arial"/>
              </w:rPr>
              <w:t>;</w:t>
            </w:r>
          </w:p>
          <w:p w14:paraId="76D60777" w14:textId="77777777" w:rsidR="004E3038" w:rsidRPr="00B21147" w:rsidRDefault="00F5207B" w:rsidP="00223CAB">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 xml:space="preserve">Pump-priming for </w:t>
            </w:r>
            <w:r w:rsidR="004E3038" w:rsidRPr="00B21147">
              <w:rPr>
                <w:rFonts w:ascii="Arial" w:hAnsi="Arial" w:cs="Arial"/>
              </w:rPr>
              <w:t xml:space="preserve">future </w:t>
            </w:r>
            <w:r w:rsidR="00CB12A0" w:rsidRPr="00B21147">
              <w:rPr>
                <w:rFonts w:ascii="Arial" w:hAnsi="Arial" w:cs="Arial"/>
              </w:rPr>
              <w:t>areas of service improvement</w:t>
            </w:r>
            <w:r w:rsidRPr="00B21147">
              <w:rPr>
                <w:rFonts w:ascii="Arial" w:hAnsi="Arial" w:cs="Arial"/>
              </w:rPr>
              <w:t>; and</w:t>
            </w:r>
          </w:p>
          <w:p w14:paraId="0BE94610" w14:textId="67E52E5E" w:rsidR="00F5207B" w:rsidRPr="00B21147" w:rsidRDefault="00F5207B" w:rsidP="005768A5">
            <w:pPr>
              <w:pStyle w:val="ListParagraph"/>
              <w:numPr>
                <w:ilvl w:val="0"/>
                <w:numId w:val="7"/>
              </w:numPr>
              <w:autoSpaceDE w:val="0"/>
              <w:autoSpaceDN w:val="0"/>
              <w:spacing w:line="276" w:lineRule="auto"/>
              <w:jc w:val="both"/>
              <w:rPr>
                <w:rFonts w:ascii="Arial" w:hAnsi="Arial" w:cs="Arial"/>
              </w:rPr>
            </w:pPr>
            <w:r w:rsidRPr="00B21147">
              <w:rPr>
                <w:rFonts w:ascii="Arial" w:hAnsi="Arial" w:cs="Arial"/>
              </w:rPr>
              <w:t xml:space="preserve">Overspending in the </w:t>
            </w:r>
            <w:r w:rsidR="00236675" w:rsidRPr="00B21147">
              <w:rPr>
                <w:rFonts w:ascii="Arial" w:hAnsi="Arial" w:cs="Arial"/>
              </w:rPr>
              <w:t>C</w:t>
            </w:r>
            <w:r w:rsidRPr="00B21147">
              <w:rPr>
                <w:rFonts w:ascii="Arial" w:hAnsi="Arial" w:cs="Arial"/>
              </w:rPr>
              <w:t xml:space="preserve">apital </w:t>
            </w:r>
            <w:r w:rsidR="00236675" w:rsidRPr="00B21147">
              <w:rPr>
                <w:rFonts w:ascii="Arial" w:hAnsi="Arial" w:cs="Arial"/>
              </w:rPr>
              <w:t>P</w:t>
            </w:r>
            <w:r w:rsidRPr="00B21147">
              <w:rPr>
                <w:rFonts w:ascii="Arial" w:hAnsi="Arial" w:cs="Arial"/>
              </w:rPr>
              <w:t xml:space="preserve">rogramme or acceleration which brings forward spend. </w:t>
            </w:r>
          </w:p>
          <w:p w14:paraId="0F318199" w14:textId="77777777" w:rsidR="002E336C" w:rsidRPr="00B21147" w:rsidRDefault="002E336C" w:rsidP="002E336C">
            <w:pPr>
              <w:pStyle w:val="ListParagraph"/>
              <w:autoSpaceDE w:val="0"/>
              <w:autoSpaceDN w:val="0"/>
              <w:spacing w:line="276" w:lineRule="auto"/>
              <w:ind w:left="360"/>
              <w:jc w:val="both"/>
              <w:rPr>
                <w:rFonts w:ascii="Arial" w:hAnsi="Arial" w:cs="Arial"/>
              </w:rPr>
            </w:pPr>
          </w:p>
        </w:tc>
      </w:tr>
      <w:tr w:rsidR="00F5207B" w14:paraId="2205EDF8" w14:textId="77777777" w:rsidTr="000167AE">
        <w:tc>
          <w:tcPr>
            <w:tcW w:w="684" w:type="dxa"/>
          </w:tcPr>
          <w:p w14:paraId="79E7F848" w14:textId="77777777" w:rsidR="00F5207B" w:rsidRDefault="004E3038">
            <w:pPr>
              <w:spacing w:after="0"/>
              <w:rPr>
                <w:rFonts w:ascii="Arial" w:hAnsi="Arial" w:cs="Arial"/>
                <w:b/>
                <w:sz w:val="24"/>
                <w:szCs w:val="24"/>
              </w:rPr>
            </w:pPr>
            <w:r>
              <w:rPr>
                <w:rFonts w:ascii="Arial" w:hAnsi="Arial" w:cs="Arial"/>
                <w:b/>
                <w:sz w:val="24"/>
                <w:szCs w:val="24"/>
              </w:rPr>
              <w:lastRenderedPageBreak/>
              <w:t>6</w:t>
            </w:r>
            <w:r w:rsidR="00F5207B">
              <w:rPr>
                <w:rFonts w:ascii="Arial" w:hAnsi="Arial" w:cs="Arial"/>
                <w:b/>
                <w:sz w:val="24"/>
                <w:szCs w:val="24"/>
              </w:rPr>
              <w:t>.</w:t>
            </w:r>
          </w:p>
          <w:p w14:paraId="532CE0B6" w14:textId="77777777" w:rsidR="00F5207B" w:rsidRDefault="004E3038">
            <w:pPr>
              <w:spacing w:after="0"/>
              <w:rPr>
                <w:rFonts w:ascii="Arial" w:hAnsi="Arial" w:cs="Arial"/>
                <w:sz w:val="24"/>
                <w:szCs w:val="24"/>
              </w:rPr>
            </w:pPr>
            <w:r>
              <w:rPr>
                <w:rFonts w:ascii="Arial" w:hAnsi="Arial" w:cs="Arial"/>
                <w:sz w:val="24"/>
                <w:szCs w:val="24"/>
              </w:rPr>
              <w:t>6</w:t>
            </w:r>
            <w:r w:rsidR="00F5207B">
              <w:rPr>
                <w:rFonts w:ascii="Arial" w:hAnsi="Arial" w:cs="Arial"/>
                <w:sz w:val="24"/>
                <w:szCs w:val="24"/>
              </w:rPr>
              <w:t>.1</w:t>
            </w:r>
          </w:p>
          <w:p w14:paraId="7BB57803" w14:textId="77777777" w:rsidR="00F5207B" w:rsidRDefault="00F5207B">
            <w:pPr>
              <w:spacing w:after="0"/>
              <w:rPr>
                <w:rFonts w:ascii="Arial" w:hAnsi="Arial" w:cs="Arial"/>
                <w:sz w:val="24"/>
                <w:szCs w:val="24"/>
              </w:rPr>
            </w:pPr>
          </w:p>
        </w:tc>
        <w:tc>
          <w:tcPr>
            <w:tcW w:w="8376" w:type="dxa"/>
          </w:tcPr>
          <w:p w14:paraId="7BC9F962" w14:textId="77777777" w:rsidR="00F5207B" w:rsidRDefault="00F5207B">
            <w:pPr>
              <w:spacing w:after="0"/>
              <w:rPr>
                <w:rFonts w:ascii="Arial" w:hAnsi="Arial" w:cs="Arial"/>
                <w:b/>
                <w:sz w:val="24"/>
                <w:szCs w:val="24"/>
                <w:u w:val="single"/>
              </w:rPr>
            </w:pPr>
            <w:r>
              <w:rPr>
                <w:rFonts w:ascii="Arial" w:hAnsi="Arial" w:cs="Arial"/>
                <w:b/>
                <w:sz w:val="24"/>
                <w:szCs w:val="24"/>
                <w:u w:val="single"/>
              </w:rPr>
              <w:t>FINANCIAL CONSIDERATIONS</w:t>
            </w:r>
          </w:p>
          <w:p w14:paraId="0E710CD5" w14:textId="77777777" w:rsidR="00F5207B" w:rsidRDefault="00F5207B">
            <w:pPr>
              <w:spacing w:after="0"/>
              <w:rPr>
                <w:rFonts w:ascii="Arial" w:hAnsi="Arial" w:cs="Arial"/>
                <w:sz w:val="24"/>
                <w:szCs w:val="24"/>
              </w:rPr>
            </w:pPr>
            <w:r>
              <w:rPr>
                <w:rFonts w:ascii="Arial" w:hAnsi="Arial" w:cs="Arial"/>
                <w:sz w:val="24"/>
                <w:szCs w:val="24"/>
              </w:rPr>
              <w:t>This is a financial report.</w:t>
            </w:r>
          </w:p>
        </w:tc>
      </w:tr>
      <w:tr w:rsidR="00F5207B" w14:paraId="00133CF1" w14:textId="77777777" w:rsidTr="000167AE">
        <w:tc>
          <w:tcPr>
            <w:tcW w:w="684" w:type="dxa"/>
          </w:tcPr>
          <w:p w14:paraId="58870B79" w14:textId="77777777" w:rsidR="00F5207B" w:rsidRDefault="004E3038">
            <w:pPr>
              <w:spacing w:after="0"/>
              <w:rPr>
                <w:rFonts w:ascii="Arial" w:hAnsi="Arial" w:cs="Arial"/>
                <w:b/>
                <w:sz w:val="24"/>
                <w:szCs w:val="24"/>
              </w:rPr>
            </w:pPr>
            <w:r>
              <w:rPr>
                <w:rFonts w:ascii="Arial" w:hAnsi="Arial" w:cs="Arial"/>
                <w:b/>
                <w:sz w:val="24"/>
                <w:szCs w:val="24"/>
              </w:rPr>
              <w:t>7</w:t>
            </w:r>
            <w:r w:rsidR="00F5207B">
              <w:rPr>
                <w:rFonts w:ascii="Arial" w:hAnsi="Arial" w:cs="Arial"/>
                <w:b/>
                <w:sz w:val="24"/>
                <w:szCs w:val="24"/>
              </w:rPr>
              <w:t>.</w:t>
            </w:r>
          </w:p>
          <w:p w14:paraId="4FD00CA1" w14:textId="77777777" w:rsidR="00F5207B" w:rsidRDefault="004E3038">
            <w:pPr>
              <w:spacing w:after="0"/>
              <w:rPr>
                <w:rFonts w:ascii="Arial" w:hAnsi="Arial" w:cs="Arial"/>
                <w:sz w:val="24"/>
                <w:szCs w:val="24"/>
              </w:rPr>
            </w:pPr>
            <w:r>
              <w:rPr>
                <w:rFonts w:ascii="Arial" w:hAnsi="Arial" w:cs="Arial"/>
                <w:sz w:val="24"/>
                <w:szCs w:val="24"/>
              </w:rPr>
              <w:t>7</w:t>
            </w:r>
            <w:r w:rsidR="00F5207B">
              <w:rPr>
                <w:rFonts w:ascii="Arial" w:hAnsi="Arial" w:cs="Arial"/>
                <w:sz w:val="24"/>
                <w:szCs w:val="24"/>
              </w:rPr>
              <w:t>.1</w:t>
            </w:r>
          </w:p>
        </w:tc>
        <w:tc>
          <w:tcPr>
            <w:tcW w:w="8376" w:type="dxa"/>
          </w:tcPr>
          <w:p w14:paraId="7B815700" w14:textId="77777777" w:rsidR="00F5207B" w:rsidRDefault="00F5207B">
            <w:pPr>
              <w:spacing w:after="0"/>
              <w:rPr>
                <w:rFonts w:ascii="Arial" w:hAnsi="Arial" w:cs="Arial"/>
                <w:b/>
                <w:sz w:val="24"/>
                <w:szCs w:val="24"/>
                <w:u w:val="single"/>
              </w:rPr>
            </w:pPr>
            <w:r>
              <w:rPr>
                <w:rFonts w:ascii="Arial" w:hAnsi="Arial" w:cs="Arial"/>
                <w:b/>
                <w:sz w:val="24"/>
                <w:szCs w:val="24"/>
                <w:u w:val="single"/>
              </w:rPr>
              <w:t>PERSONNEL CONSIDERATIONS</w:t>
            </w:r>
          </w:p>
          <w:p w14:paraId="2BF38506" w14:textId="330D4216" w:rsidR="00F5207B" w:rsidRDefault="00F5207B" w:rsidP="002B1BCE">
            <w:pPr>
              <w:spacing w:after="0"/>
              <w:jc w:val="both"/>
              <w:rPr>
                <w:rFonts w:ascii="Arial" w:hAnsi="Arial" w:cs="Arial"/>
                <w:sz w:val="24"/>
                <w:szCs w:val="24"/>
              </w:rPr>
            </w:pPr>
            <w:r>
              <w:rPr>
                <w:rFonts w:ascii="Arial" w:hAnsi="Arial" w:cs="Arial"/>
                <w:sz w:val="24"/>
                <w:szCs w:val="24"/>
              </w:rPr>
              <w:t>The generation and utilisation of the Commissioner’s reserves</w:t>
            </w:r>
            <w:r w:rsidR="002B1BCE">
              <w:rPr>
                <w:rFonts w:ascii="Arial" w:hAnsi="Arial" w:cs="Arial"/>
                <w:sz w:val="24"/>
                <w:szCs w:val="24"/>
              </w:rPr>
              <w:t xml:space="preserve"> and committed funds</w:t>
            </w:r>
            <w:r>
              <w:rPr>
                <w:rFonts w:ascii="Arial" w:hAnsi="Arial" w:cs="Arial"/>
                <w:sz w:val="24"/>
                <w:szCs w:val="24"/>
              </w:rPr>
              <w:t xml:space="preserve"> have significant impact on the personnel of both the </w:t>
            </w:r>
            <w:r w:rsidR="00926A91">
              <w:rPr>
                <w:rFonts w:ascii="Arial" w:hAnsi="Arial" w:cs="Arial"/>
                <w:sz w:val="24"/>
                <w:szCs w:val="24"/>
              </w:rPr>
              <w:t xml:space="preserve">OPCC and also </w:t>
            </w:r>
            <w:r w:rsidR="002B1BCE">
              <w:rPr>
                <w:rFonts w:ascii="Arial" w:hAnsi="Arial" w:cs="Arial"/>
                <w:sz w:val="24"/>
                <w:szCs w:val="24"/>
              </w:rPr>
              <w:t>Gwent Police</w:t>
            </w:r>
            <w:r>
              <w:rPr>
                <w:rFonts w:ascii="Arial" w:hAnsi="Arial" w:cs="Arial"/>
                <w:sz w:val="24"/>
                <w:szCs w:val="24"/>
              </w:rPr>
              <w:t>.  Therefore, the individual movements of funds both in and out of the overall reserves</w:t>
            </w:r>
            <w:r w:rsidR="002B1BCE">
              <w:rPr>
                <w:rFonts w:ascii="Arial" w:hAnsi="Arial" w:cs="Arial"/>
                <w:sz w:val="24"/>
                <w:szCs w:val="24"/>
              </w:rPr>
              <w:t xml:space="preserve"> and committed funds</w:t>
            </w:r>
            <w:r w:rsidR="00000C49">
              <w:rPr>
                <w:rFonts w:ascii="Arial" w:hAnsi="Arial" w:cs="Arial"/>
                <w:sz w:val="24"/>
                <w:szCs w:val="24"/>
              </w:rPr>
              <w:t>’</w:t>
            </w:r>
            <w:r>
              <w:rPr>
                <w:rFonts w:ascii="Arial" w:hAnsi="Arial" w:cs="Arial"/>
                <w:sz w:val="24"/>
                <w:szCs w:val="24"/>
              </w:rPr>
              <w:t xml:space="preserve"> portfolio are subject to specific reporting and governance requirements, to ensure personnel considerations are documented.</w:t>
            </w:r>
          </w:p>
          <w:p w14:paraId="384311EB" w14:textId="77777777" w:rsidR="002B1BCE" w:rsidRDefault="002B1BCE" w:rsidP="002B1BCE">
            <w:pPr>
              <w:spacing w:after="0"/>
              <w:jc w:val="both"/>
              <w:rPr>
                <w:rFonts w:ascii="Arial" w:hAnsi="Arial" w:cs="Arial"/>
                <w:sz w:val="24"/>
                <w:szCs w:val="24"/>
              </w:rPr>
            </w:pPr>
          </w:p>
        </w:tc>
      </w:tr>
      <w:tr w:rsidR="00F5207B" w14:paraId="5CCC9E04" w14:textId="77777777" w:rsidTr="000167AE">
        <w:tc>
          <w:tcPr>
            <w:tcW w:w="684" w:type="dxa"/>
          </w:tcPr>
          <w:p w14:paraId="7D15917C" w14:textId="77777777" w:rsidR="00F5207B" w:rsidRDefault="004E3038">
            <w:pPr>
              <w:spacing w:after="0"/>
              <w:rPr>
                <w:rFonts w:ascii="Arial" w:hAnsi="Arial" w:cs="Arial"/>
                <w:b/>
                <w:sz w:val="24"/>
                <w:szCs w:val="24"/>
              </w:rPr>
            </w:pPr>
            <w:r>
              <w:rPr>
                <w:rFonts w:ascii="Arial" w:hAnsi="Arial" w:cs="Arial"/>
                <w:b/>
                <w:sz w:val="24"/>
                <w:szCs w:val="24"/>
              </w:rPr>
              <w:t>8</w:t>
            </w:r>
            <w:r w:rsidR="00F5207B">
              <w:rPr>
                <w:rFonts w:ascii="Arial" w:hAnsi="Arial" w:cs="Arial"/>
                <w:b/>
                <w:sz w:val="24"/>
                <w:szCs w:val="24"/>
              </w:rPr>
              <w:t>.</w:t>
            </w:r>
          </w:p>
          <w:p w14:paraId="3F7B3B22" w14:textId="77777777" w:rsidR="00F5207B" w:rsidRDefault="004E3038">
            <w:pPr>
              <w:spacing w:after="0"/>
              <w:rPr>
                <w:rFonts w:ascii="Arial" w:hAnsi="Arial" w:cs="Arial"/>
                <w:sz w:val="24"/>
                <w:szCs w:val="24"/>
              </w:rPr>
            </w:pPr>
            <w:r>
              <w:rPr>
                <w:rFonts w:ascii="Arial" w:hAnsi="Arial" w:cs="Arial"/>
                <w:sz w:val="24"/>
                <w:szCs w:val="24"/>
              </w:rPr>
              <w:t>8</w:t>
            </w:r>
            <w:r w:rsidR="00F5207B">
              <w:rPr>
                <w:rFonts w:ascii="Arial" w:hAnsi="Arial" w:cs="Arial"/>
                <w:sz w:val="24"/>
                <w:szCs w:val="24"/>
              </w:rPr>
              <w:t>.1</w:t>
            </w:r>
          </w:p>
        </w:tc>
        <w:tc>
          <w:tcPr>
            <w:tcW w:w="8376" w:type="dxa"/>
          </w:tcPr>
          <w:p w14:paraId="75985CFE" w14:textId="77777777" w:rsidR="00F5207B" w:rsidRDefault="00F5207B">
            <w:pPr>
              <w:spacing w:after="0"/>
              <w:rPr>
                <w:rFonts w:ascii="Arial" w:hAnsi="Arial" w:cs="Arial"/>
                <w:b/>
                <w:sz w:val="24"/>
                <w:szCs w:val="24"/>
                <w:u w:val="single"/>
              </w:rPr>
            </w:pPr>
            <w:r>
              <w:rPr>
                <w:rFonts w:ascii="Arial" w:hAnsi="Arial" w:cs="Arial"/>
                <w:b/>
                <w:sz w:val="24"/>
                <w:szCs w:val="24"/>
                <w:u w:val="single"/>
              </w:rPr>
              <w:t>LEGAL IMPLICATIONS</w:t>
            </w:r>
          </w:p>
          <w:p w14:paraId="71346DB6" w14:textId="6BA26F69" w:rsidR="00F5207B" w:rsidRDefault="00F5207B">
            <w:pPr>
              <w:spacing w:after="0" w:line="240" w:lineRule="auto"/>
              <w:jc w:val="both"/>
              <w:rPr>
                <w:rFonts w:ascii="Arial" w:hAnsi="Arial" w:cs="Arial"/>
              </w:rPr>
            </w:pPr>
            <w:r>
              <w:rPr>
                <w:rFonts w:ascii="Arial" w:hAnsi="Arial" w:cs="Arial"/>
                <w:sz w:val="24"/>
                <w:szCs w:val="24"/>
              </w:rPr>
              <w:t xml:space="preserve">The legal background and framework within which the Commissioner manages </w:t>
            </w:r>
            <w:r w:rsidR="00CD0901">
              <w:rPr>
                <w:rFonts w:ascii="Arial" w:hAnsi="Arial" w:cs="Arial"/>
                <w:sz w:val="24"/>
                <w:szCs w:val="24"/>
              </w:rPr>
              <w:t>the</w:t>
            </w:r>
            <w:r>
              <w:rPr>
                <w:rFonts w:ascii="Arial" w:hAnsi="Arial" w:cs="Arial"/>
                <w:sz w:val="24"/>
                <w:szCs w:val="24"/>
              </w:rPr>
              <w:t xml:space="preserve"> reserves portfolio have been identified throughout this report.</w:t>
            </w:r>
          </w:p>
          <w:p w14:paraId="0361DFA0" w14:textId="77777777" w:rsidR="00F5207B" w:rsidRDefault="00F5207B">
            <w:pPr>
              <w:spacing w:after="0"/>
              <w:rPr>
                <w:rFonts w:ascii="Arial" w:hAnsi="Arial" w:cs="Arial"/>
                <w:sz w:val="24"/>
                <w:szCs w:val="24"/>
              </w:rPr>
            </w:pPr>
          </w:p>
        </w:tc>
      </w:tr>
      <w:tr w:rsidR="00F5207B" w14:paraId="05D432BD" w14:textId="77777777" w:rsidTr="000167AE">
        <w:tc>
          <w:tcPr>
            <w:tcW w:w="684" w:type="dxa"/>
          </w:tcPr>
          <w:p w14:paraId="30D6F5B1" w14:textId="77777777" w:rsidR="00F5207B" w:rsidRDefault="004E3038">
            <w:pPr>
              <w:spacing w:after="0"/>
              <w:rPr>
                <w:rFonts w:ascii="Arial" w:hAnsi="Arial" w:cs="Arial"/>
                <w:b/>
                <w:sz w:val="24"/>
                <w:szCs w:val="24"/>
              </w:rPr>
            </w:pPr>
            <w:r>
              <w:rPr>
                <w:rFonts w:ascii="Arial" w:hAnsi="Arial" w:cs="Arial"/>
                <w:b/>
                <w:sz w:val="24"/>
                <w:szCs w:val="24"/>
              </w:rPr>
              <w:t>9</w:t>
            </w:r>
            <w:r w:rsidR="00F5207B">
              <w:rPr>
                <w:rFonts w:ascii="Arial" w:hAnsi="Arial" w:cs="Arial"/>
                <w:b/>
                <w:sz w:val="24"/>
                <w:szCs w:val="24"/>
              </w:rPr>
              <w:t>.</w:t>
            </w:r>
          </w:p>
          <w:p w14:paraId="419C52E7" w14:textId="77777777" w:rsidR="00F5207B" w:rsidRDefault="004E3038">
            <w:pPr>
              <w:spacing w:after="0"/>
              <w:rPr>
                <w:rFonts w:ascii="Arial" w:hAnsi="Arial" w:cs="Arial"/>
                <w:sz w:val="24"/>
                <w:szCs w:val="24"/>
              </w:rPr>
            </w:pPr>
            <w:r>
              <w:rPr>
                <w:rFonts w:ascii="Arial" w:hAnsi="Arial" w:cs="Arial"/>
                <w:sz w:val="24"/>
                <w:szCs w:val="24"/>
              </w:rPr>
              <w:t>9</w:t>
            </w:r>
            <w:r w:rsidR="00F5207B">
              <w:rPr>
                <w:rFonts w:ascii="Arial" w:hAnsi="Arial" w:cs="Arial"/>
                <w:sz w:val="24"/>
                <w:szCs w:val="24"/>
              </w:rPr>
              <w:t>.1</w:t>
            </w:r>
          </w:p>
          <w:p w14:paraId="25254C53" w14:textId="77777777" w:rsidR="00F5207B" w:rsidRDefault="00F5207B">
            <w:pPr>
              <w:spacing w:after="0"/>
              <w:rPr>
                <w:rFonts w:ascii="Arial" w:hAnsi="Arial" w:cs="Arial"/>
                <w:sz w:val="24"/>
                <w:szCs w:val="24"/>
              </w:rPr>
            </w:pPr>
          </w:p>
          <w:p w14:paraId="22EDCEEA" w14:textId="77777777" w:rsidR="00F5207B" w:rsidRDefault="00F5207B">
            <w:pPr>
              <w:spacing w:after="0"/>
              <w:rPr>
                <w:rFonts w:ascii="Arial" w:hAnsi="Arial" w:cs="Arial"/>
                <w:sz w:val="24"/>
                <w:szCs w:val="24"/>
              </w:rPr>
            </w:pPr>
          </w:p>
          <w:p w14:paraId="1827BAC8" w14:textId="10A23C93" w:rsidR="00F5207B" w:rsidRDefault="00F5207B">
            <w:pPr>
              <w:spacing w:after="0"/>
              <w:rPr>
                <w:rFonts w:ascii="Arial" w:hAnsi="Arial" w:cs="Arial"/>
                <w:sz w:val="24"/>
                <w:szCs w:val="24"/>
              </w:rPr>
            </w:pPr>
          </w:p>
          <w:p w14:paraId="3AFA9231" w14:textId="7BCF4D6C" w:rsidR="00EC5441" w:rsidRDefault="00EC5441">
            <w:pPr>
              <w:spacing w:after="0"/>
              <w:rPr>
                <w:rFonts w:ascii="Arial" w:hAnsi="Arial" w:cs="Arial"/>
                <w:sz w:val="24"/>
                <w:szCs w:val="24"/>
              </w:rPr>
            </w:pPr>
          </w:p>
          <w:p w14:paraId="473540FB" w14:textId="77777777" w:rsidR="00F5207B" w:rsidRDefault="004E3038">
            <w:pPr>
              <w:spacing w:after="0"/>
              <w:rPr>
                <w:rFonts w:ascii="Arial" w:hAnsi="Arial" w:cs="Arial"/>
                <w:sz w:val="24"/>
                <w:szCs w:val="24"/>
              </w:rPr>
            </w:pPr>
            <w:r>
              <w:rPr>
                <w:rFonts w:ascii="Arial" w:hAnsi="Arial" w:cs="Arial"/>
                <w:sz w:val="24"/>
                <w:szCs w:val="24"/>
              </w:rPr>
              <w:lastRenderedPageBreak/>
              <w:t>9</w:t>
            </w:r>
            <w:r w:rsidR="00F5207B">
              <w:rPr>
                <w:rFonts w:ascii="Arial" w:hAnsi="Arial" w:cs="Arial"/>
                <w:sz w:val="24"/>
                <w:szCs w:val="24"/>
              </w:rPr>
              <w:t>.2</w:t>
            </w:r>
          </w:p>
          <w:p w14:paraId="1E1BE9F9" w14:textId="77777777" w:rsidR="00F5207B" w:rsidRDefault="00F5207B">
            <w:pPr>
              <w:spacing w:after="0"/>
              <w:rPr>
                <w:rFonts w:ascii="Arial" w:hAnsi="Arial" w:cs="Arial"/>
                <w:sz w:val="24"/>
                <w:szCs w:val="24"/>
              </w:rPr>
            </w:pPr>
          </w:p>
        </w:tc>
        <w:tc>
          <w:tcPr>
            <w:tcW w:w="8376" w:type="dxa"/>
          </w:tcPr>
          <w:p w14:paraId="2FEBAEA1" w14:textId="77777777" w:rsidR="00F5207B" w:rsidRDefault="00F5207B">
            <w:pPr>
              <w:spacing w:after="0"/>
              <w:rPr>
                <w:rFonts w:ascii="Arial" w:hAnsi="Arial" w:cs="Arial"/>
                <w:b/>
                <w:sz w:val="24"/>
                <w:szCs w:val="24"/>
                <w:u w:val="single"/>
              </w:rPr>
            </w:pPr>
            <w:r>
              <w:rPr>
                <w:rFonts w:ascii="Arial" w:hAnsi="Arial" w:cs="Arial"/>
                <w:b/>
                <w:sz w:val="24"/>
                <w:szCs w:val="24"/>
                <w:u w:val="single"/>
              </w:rPr>
              <w:lastRenderedPageBreak/>
              <w:t>EQUALITIES  AND HUMAN RIGHTS CONSIDERATIONS</w:t>
            </w:r>
          </w:p>
          <w:p w14:paraId="7F9720AA" w14:textId="77777777" w:rsidR="00F5207B" w:rsidRDefault="00F5207B">
            <w:pPr>
              <w:spacing w:after="0"/>
              <w:jc w:val="both"/>
              <w:rPr>
                <w:rFonts w:ascii="Arial" w:hAnsi="Arial"/>
                <w:snapToGrid w:val="0"/>
                <w:sz w:val="24"/>
                <w:szCs w:val="20"/>
              </w:rPr>
            </w:pPr>
            <w:r>
              <w:rPr>
                <w:rFonts w:ascii="Arial" w:hAnsi="Arial"/>
                <w:snapToGrid w:val="0"/>
                <w:sz w:val="24"/>
                <w:szCs w:val="20"/>
              </w:rPr>
              <w:t xml:space="preserve">This report has been considered against the general duty to promote equality, as stipulated under the Strategic Equality Plan and has been assessed not to discriminate against any particular group. </w:t>
            </w:r>
          </w:p>
          <w:p w14:paraId="63CD1337" w14:textId="77777777" w:rsidR="00F5207B" w:rsidRDefault="00F5207B">
            <w:pPr>
              <w:spacing w:after="0"/>
              <w:jc w:val="both"/>
              <w:rPr>
                <w:rFonts w:ascii="Arial" w:hAnsi="Arial" w:cs="Arial"/>
                <w:b/>
                <w:sz w:val="24"/>
                <w:szCs w:val="20"/>
                <w:u w:val="single"/>
              </w:rPr>
            </w:pPr>
            <w:r>
              <w:rPr>
                <w:rFonts w:ascii="Arial" w:hAnsi="Arial"/>
                <w:snapToGrid w:val="0"/>
                <w:sz w:val="24"/>
                <w:szCs w:val="20"/>
              </w:rPr>
              <w:t xml:space="preserve"> </w:t>
            </w:r>
          </w:p>
          <w:p w14:paraId="6174FA61" w14:textId="77777777" w:rsidR="00F5207B" w:rsidRDefault="00F5207B">
            <w:pPr>
              <w:spacing w:after="0"/>
              <w:jc w:val="both"/>
              <w:rPr>
                <w:rFonts w:ascii="Arial" w:hAnsi="Arial" w:cs="Arial"/>
                <w:bCs/>
                <w:iCs/>
                <w:sz w:val="24"/>
                <w:szCs w:val="20"/>
              </w:rPr>
            </w:pPr>
            <w:r>
              <w:rPr>
                <w:rFonts w:ascii="Arial" w:hAnsi="Arial" w:cs="Arial"/>
                <w:bCs/>
                <w:iCs/>
                <w:sz w:val="24"/>
                <w:szCs w:val="20"/>
              </w:rPr>
              <w:lastRenderedPageBreak/>
              <w:t>Consideration has been given to requirements of the Articles contained in the European Convention on Human Rights and the Human Rights Act 1998 in preparing this report.</w:t>
            </w:r>
          </w:p>
          <w:p w14:paraId="4D670FC1" w14:textId="77777777" w:rsidR="000D088C" w:rsidRDefault="000D088C">
            <w:pPr>
              <w:spacing w:after="0"/>
              <w:jc w:val="both"/>
              <w:rPr>
                <w:rFonts w:ascii="Arial" w:hAnsi="Arial" w:cs="Arial"/>
                <w:sz w:val="24"/>
                <w:szCs w:val="24"/>
              </w:rPr>
            </w:pPr>
          </w:p>
        </w:tc>
      </w:tr>
      <w:tr w:rsidR="00F5207B" w14:paraId="4ADC8B41" w14:textId="77777777" w:rsidTr="000167AE">
        <w:tc>
          <w:tcPr>
            <w:tcW w:w="684" w:type="dxa"/>
          </w:tcPr>
          <w:p w14:paraId="38AB250C" w14:textId="77777777" w:rsidR="00F5207B" w:rsidRDefault="004E3038">
            <w:pPr>
              <w:spacing w:after="0"/>
              <w:rPr>
                <w:rFonts w:ascii="Arial" w:hAnsi="Arial" w:cs="Arial"/>
                <w:b/>
                <w:sz w:val="24"/>
                <w:szCs w:val="24"/>
              </w:rPr>
            </w:pPr>
            <w:r>
              <w:rPr>
                <w:rFonts w:ascii="Arial" w:hAnsi="Arial" w:cs="Arial"/>
                <w:b/>
                <w:sz w:val="24"/>
                <w:szCs w:val="24"/>
              </w:rPr>
              <w:lastRenderedPageBreak/>
              <w:t>10</w:t>
            </w:r>
            <w:r w:rsidR="00F5207B">
              <w:rPr>
                <w:rFonts w:ascii="Arial" w:hAnsi="Arial" w:cs="Arial"/>
                <w:b/>
                <w:sz w:val="24"/>
                <w:szCs w:val="24"/>
              </w:rPr>
              <w:t>.</w:t>
            </w:r>
          </w:p>
          <w:p w14:paraId="18B91388" w14:textId="77777777" w:rsidR="00F5207B" w:rsidRDefault="004E3038">
            <w:pPr>
              <w:spacing w:after="0"/>
              <w:rPr>
                <w:rFonts w:ascii="Arial" w:hAnsi="Arial" w:cs="Arial"/>
                <w:sz w:val="24"/>
                <w:szCs w:val="24"/>
              </w:rPr>
            </w:pPr>
            <w:r>
              <w:rPr>
                <w:rFonts w:ascii="Arial" w:hAnsi="Arial" w:cs="Arial"/>
                <w:sz w:val="24"/>
                <w:szCs w:val="24"/>
              </w:rPr>
              <w:t>10</w:t>
            </w:r>
            <w:r w:rsidR="00F5207B">
              <w:rPr>
                <w:rFonts w:ascii="Arial" w:hAnsi="Arial" w:cs="Arial"/>
                <w:sz w:val="24"/>
                <w:szCs w:val="24"/>
              </w:rPr>
              <w:t>.1</w:t>
            </w:r>
          </w:p>
        </w:tc>
        <w:tc>
          <w:tcPr>
            <w:tcW w:w="8376" w:type="dxa"/>
          </w:tcPr>
          <w:p w14:paraId="0F2EF78A" w14:textId="77777777" w:rsidR="00F5207B" w:rsidRDefault="00F5207B">
            <w:pPr>
              <w:spacing w:after="0"/>
              <w:rPr>
                <w:rFonts w:ascii="Arial" w:hAnsi="Arial" w:cs="Arial"/>
                <w:b/>
                <w:sz w:val="24"/>
                <w:szCs w:val="24"/>
                <w:u w:val="single"/>
              </w:rPr>
            </w:pPr>
            <w:r>
              <w:rPr>
                <w:rFonts w:ascii="Arial" w:hAnsi="Arial" w:cs="Arial"/>
                <w:b/>
                <w:sz w:val="24"/>
                <w:szCs w:val="24"/>
                <w:u w:val="single"/>
              </w:rPr>
              <w:t>RISK</w:t>
            </w:r>
          </w:p>
          <w:p w14:paraId="17DB2647" w14:textId="77777777" w:rsidR="00F5207B" w:rsidRDefault="00F5207B" w:rsidP="00EB55AB">
            <w:pPr>
              <w:pStyle w:val="ListParagraph"/>
              <w:autoSpaceDE w:val="0"/>
              <w:autoSpaceDN w:val="0"/>
              <w:spacing w:line="276" w:lineRule="auto"/>
              <w:ind w:left="0"/>
              <w:jc w:val="both"/>
              <w:rPr>
                <w:rFonts w:ascii="Arial" w:hAnsi="Arial" w:cs="Arial"/>
              </w:rPr>
            </w:pPr>
            <w:r>
              <w:rPr>
                <w:rFonts w:ascii="Arial" w:hAnsi="Arial" w:cs="Arial"/>
              </w:rPr>
              <w:t>The ma</w:t>
            </w:r>
            <w:r w:rsidR="003E2DF3">
              <w:rPr>
                <w:rFonts w:ascii="Arial" w:hAnsi="Arial" w:cs="Arial"/>
              </w:rPr>
              <w:t>nagement of the Commissioner’s R</w:t>
            </w:r>
            <w:r>
              <w:rPr>
                <w:rFonts w:ascii="Arial" w:hAnsi="Arial" w:cs="Arial"/>
              </w:rPr>
              <w:t xml:space="preserve">eserves </w:t>
            </w:r>
            <w:r w:rsidR="003E2DF3">
              <w:rPr>
                <w:rFonts w:ascii="Arial" w:hAnsi="Arial" w:cs="Arial"/>
              </w:rPr>
              <w:t>and Committed F</w:t>
            </w:r>
            <w:r w:rsidR="00542E40">
              <w:rPr>
                <w:rFonts w:ascii="Arial" w:hAnsi="Arial" w:cs="Arial"/>
              </w:rPr>
              <w:t xml:space="preserve">unds </w:t>
            </w:r>
            <w:r w:rsidR="003E2DF3">
              <w:rPr>
                <w:rFonts w:ascii="Arial" w:hAnsi="Arial" w:cs="Arial"/>
              </w:rPr>
              <w:t>Strategy</w:t>
            </w:r>
            <w:r>
              <w:rPr>
                <w:rFonts w:ascii="Arial" w:hAnsi="Arial" w:cs="Arial"/>
              </w:rPr>
              <w:t xml:space="preserve"> holds significant inherent risks, as by their very nature, reserves</w:t>
            </w:r>
            <w:r w:rsidR="00542E40">
              <w:rPr>
                <w:rFonts w:ascii="Arial" w:hAnsi="Arial" w:cs="Arial"/>
              </w:rPr>
              <w:t xml:space="preserve"> and committed funds</w:t>
            </w:r>
            <w:r>
              <w:rPr>
                <w:rFonts w:ascii="Arial" w:hAnsi="Arial" w:cs="Arial"/>
              </w:rPr>
              <w:t xml:space="preserve"> reflect the risk profile of local circumstances.  However, as previously articulated, the </w:t>
            </w:r>
            <w:r w:rsidR="003E2DF3">
              <w:rPr>
                <w:rFonts w:ascii="Arial" w:hAnsi="Arial" w:cs="Arial"/>
              </w:rPr>
              <w:t>R</w:t>
            </w:r>
            <w:r>
              <w:rPr>
                <w:rFonts w:ascii="Arial" w:hAnsi="Arial" w:cs="Arial"/>
              </w:rPr>
              <w:t xml:space="preserve">eserves </w:t>
            </w:r>
            <w:r w:rsidR="003E2DF3">
              <w:rPr>
                <w:rFonts w:ascii="Arial" w:hAnsi="Arial" w:cs="Arial"/>
              </w:rPr>
              <w:t>and Committed F</w:t>
            </w:r>
            <w:r w:rsidR="00542E40">
              <w:rPr>
                <w:rFonts w:ascii="Arial" w:hAnsi="Arial" w:cs="Arial"/>
              </w:rPr>
              <w:t xml:space="preserve">unds </w:t>
            </w:r>
            <w:r w:rsidR="003E2DF3">
              <w:rPr>
                <w:rFonts w:ascii="Arial" w:hAnsi="Arial" w:cs="Arial"/>
              </w:rPr>
              <w:t>Strategy</w:t>
            </w:r>
            <w:r>
              <w:rPr>
                <w:rFonts w:ascii="Arial" w:hAnsi="Arial" w:cs="Arial"/>
              </w:rPr>
              <w:t xml:space="preserve"> </w:t>
            </w:r>
            <w:r w:rsidR="00542E40">
              <w:rPr>
                <w:rFonts w:ascii="Arial" w:hAnsi="Arial" w:cs="Arial"/>
              </w:rPr>
              <w:t>is</w:t>
            </w:r>
            <w:r>
              <w:rPr>
                <w:rFonts w:ascii="Arial" w:hAnsi="Arial" w:cs="Arial"/>
              </w:rPr>
              <w:t xml:space="preserve"> formally </w:t>
            </w:r>
            <w:r w:rsidR="00542E40">
              <w:rPr>
                <w:rFonts w:ascii="Arial" w:hAnsi="Arial" w:cs="Arial"/>
              </w:rPr>
              <w:t xml:space="preserve">scrutinised </w:t>
            </w:r>
            <w:r w:rsidR="003E2DF3">
              <w:rPr>
                <w:rFonts w:ascii="Arial" w:hAnsi="Arial" w:cs="Arial"/>
              </w:rPr>
              <w:t>once</w:t>
            </w:r>
            <w:r w:rsidR="00542E40">
              <w:rPr>
                <w:rFonts w:ascii="Arial" w:hAnsi="Arial" w:cs="Arial"/>
              </w:rPr>
              <w:t xml:space="preserve"> a year and is</w:t>
            </w:r>
            <w:r>
              <w:rPr>
                <w:rFonts w:ascii="Arial" w:hAnsi="Arial" w:cs="Arial"/>
              </w:rPr>
              <w:t xml:space="preserve"> also subject to regular review during monthly management reporting and also during periodic revisions to the MTFP.</w:t>
            </w:r>
          </w:p>
          <w:p w14:paraId="4D582DA9" w14:textId="77777777" w:rsidR="00926A91" w:rsidRDefault="00926A91" w:rsidP="00EB55AB">
            <w:pPr>
              <w:pStyle w:val="ListParagraph"/>
              <w:autoSpaceDE w:val="0"/>
              <w:autoSpaceDN w:val="0"/>
              <w:spacing w:line="276" w:lineRule="auto"/>
              <w:ind w:left="0"/>
              <w:jc w:val="both"/>
              <w:rPr>
                <w:rFonts w:ascii="Arial" w:hAnsi="Arial" w:cs="Arial"/>
              </w:rPr>
            </w:pPr>
          </w:p>
        </w:tc>
      </w:tr>
      <w:tr w:rsidR="00F5207B" w14:paraId="6C072E74" w14:textId="77777777" w:rsidTr="000167AE">
        <w:tc>
          <w:tcPr>
            <w:tcW w:w="684" w:type="dxa"/>
          </w:tcPr>
          <w:p w14:paraId="09D714CF" w14:textId="77777777" w:rsidR="00F5207B" w:rsidRDefault="004E3038">
            <w:pPr>
              <w:spacing w:after="0"/>
              <w:rPr>
                <w:rFonts w:ascii="Arial" w:hAnsi="Arial" w:cs="Arial"/>
                <w:b/>
                <w:sz w:val="24"/>
                <w:szCs w:val="24"/>
              </w:rPr>
            </w:pPr>
            <w:r>
              <w:rPr>
                <w:rFonts w:ascii="Arial" w:hAnsi="Arial" w:cs="Arial"/>
                <w:b/>
                <w:sz w:val="24"/>
                <w:szCs w:val="24"/>
              </w:rPr>
              <w:t>11</w:t>
            </w:r>
            <w:r w:rsidR="00F5207B">
              <w:rPr>
                <w:rFonts w:ascii="Arial" w:hAnsi="Arial" w:cs="Arial"/>
                <w:b/>
                <w:sz w:val="24"/>
                <w:szCs w:val="24"/>
              </w:rPr>
              <w:t>.</w:t>
            </w:r>
          </w:p>
          <w:p w14:paraId="1B45F4A9" w14:textId="77777777" w:rsidR="00F5207B" w:rsidRDefault="004E3038">
            <w:pPr>
              <w:spacing w:after="0"/>
              <w:rPr>
                <w:rFonts w:ascii="Arial" w:hAnsi="Arial" w:cs="Arial"/>
                <w:sz w:val="24"/>
                <w:szCs w:val="24"/>
              </w:rPr>
            </w:pPr>
            <w:r>
              <w:rPr>
                <w:rFonts w:ascii="Arial" w:hAnsi="Arial" w:cs="Arial"/>
                <w:sz w:val="24"/>
                <w:szCs w:val="24"/>
              </w:rPr>
              <w:t>11</w:t>
            </w:r>
            <w:r w:rsidR="00F5207B">
              <w:rPr>
                <w:rFonts w:ascii="Arial" w:hAnsi="Arial" w:cs="Arial"/>
                <w:sz w:val="24"/>
                <w:szCs w:val="24"/>
              </w:rPr>
              <w:t>.1</w:t>
            </w:r>
          </w:p>
        </w:tc>
        <w:tc>
          <w:tcPr>
            <w:tcW w:w="8376" w:type="dxa"/>
          </w:tcPr>
          <w:p w14:paraId="65C7B85B" w14:textId="77777777" w:rsidR="00F5207B" w:rsidRDefault="00F5207B">
            <w:pPr>
              <w:spacing w:after="0"/>
              <w:rPr>
                <w:rFonts w:ascii="Arial" w:hAnsi="Arial" w:cs="Arial"/>
                <w:b/>
                <w:sz w:val="24"/>
                <w:szCs w:val="24"/>
                <w:u w:val="single"/>
              </w:rPr>
            </w:pPr>
            <w:r>
              <w:rPr>
                <w:rFonts w:ascii="Arial" w:hAnsi="Arial" w:cs="Arial"/>
                <w:b/>
                <w:sz w:val="24"/>
                <w:szCs w:val="24"/>
                <w:u w:val="single"/>
              </w:rPr>
              <w:t>PUBLIC INTEREST</w:t>
            </w:r>
          </w:p>
          <w:p w14:paraId="39F86768" w14:textId="77777777" w:rsidR="00F5207B" w:rsidRDefault="00F5207B">
            <w:pPr>
              <w:spacing w:after="0"/>
              <w:jc w:val="both"/>
              <w:rPr>
                <w:rFonts w:ascii="Arial" w:hAnsi="Arial" w:cs="Arial"/>
                <w:sz w:val="24"/>
                <w:szCs w:val="24"/>
              </w:rPr>
            </w:pPr>
            <w:r>
              <w:rPr>
                <w:rFonts w:ascii="Arial" w:hAnsi="Arial" w:cs="Arial"/>
                <w:sz w:val="24"/>
                <w:szCs w:val="24"/>
              </w:rPr>
              <w:t xml:space="preserve">This </w:t>
            </w:r>
            <w:r w:rsidR="00542E40">
              <w:rPr>
                <w:rFonts w:ascii="Arial" w:hAnsi="Arial" w:cs="Arial"/>
                <w:sz w:val="24"/>
                <w:szCs w:val="24"/>
              </w:rPr>
              <w:t>is a public document</w:t>
            </w:r>
            <w:r>
              <w:rPr>
                <w:rFonts w:ascii="Arial" w:hAnsi="Arial" w:cs="Arial"/>
                <w:sz w:val="24"/>
                <w:szCs w:val="24"/>
              </w:rPr>
              <w:t>.</w:t>
            </w:r>
          </w:p>
          <w:p w14:paraId="09A3CD49" w14:textId="77777777" w:rsidR="00F5207B" w:rsidRDefault="00F5207B">
            <w:pPr>
              <w:spacing w:after="0"/>
              <w:rPr>
                <w:rFonts w:ascii="Arial" w:hAnsi="Arial" w:cs="Arial"/>
              </w:rPr>
            </w:pPr>
          </w:p>
        </w:tc>
      </w:tr>
      <w:tr w:rsidR="00F5207B" w14:paraId="5112C881" w14:textId="77777777" w:rsidTr="000167AE">
        <w:tc>
          <w:tcPr>
            <w:tcW w:w="684" w:type="dxa"/>
          </w:tcPr>
          <w:p w14:paraId="6A8DF62C" w14:textId="77777777" w:rsidR="00F5207B" w:rsidRDefault="004E3038">
            <w:pPr>
              <w:spacing w:after="0"/>
              <w:rPr>
                <w:rFonts w:ascii="Arial" w:hAnsi="Arial" w:cs="Arial"/>
                <w:b/>
                <w:sz w:val="24"/>
                <w:szCs w:val="24"/>
              </w:rPr>
            </w:pPr>
            <w:r>
              <w:rPr>
                <w:rFonts w:ascii="Arial" w:hAnsi="Arial" w:cs="Arial"/>
                <w:b/>
                <w:sz w:val="24"/>
                <w:szCs w:val="24"/>
              </w:rPr>
              <w:t>12</w:t>
            </w:r>
            <w:r w:rsidR="00F5207B">
              <w:rPr>
                <w:rFonts w:ascii="Arial" w:hAnsi="Arial" w:cs="Arial"/>
                <w:b/>
                <w:sz w:val="24"/>
                <w:szCs w:val="24"/>
              </w:rPr>
              <w:t>.</w:t>
            </w:r>
          </w:p>
          <w:p w14:paraId="6329F4B0" w14:textId="77777777" w:rsidR="00F5207B" w:rsidRDefault="004E3038">
            <w:pPr>
              <w:spacing w:after="0"/>
              <w:rPr>
                <w:rFonts w:ascii="Arial" w:hAnsi="Arial" w:cs="Arial"/>
                <w:sz w:val="24"/>
                <w:szCs w:val="24"/>
              </w:rPr>
            </w:pPr>
            <w:r>
              <w:rPr>
                <w:rFonts w:ascii="Arial" w:hAnsi="Arial" w:cs="Arial"/>
                <w:sz w:val="24"/>
                <w:szCs w:val="24"/>
              </w:rPr>
              <w:t>12</w:t>
            </w:r>
            <w:r w:rsidR="00F5207B">
              <w:rPr>
                <w:rFonts w:ascii="Arial" w:hAnsi="Arial" w:cs="Arial"/>
                <w:sz w:val="24"/>
                <w:szCs w:val="24"/>
              </w:rPr>
              <w:t>.1</w:t>
            </w:r>
          </w:p>
        </w:tc>
        <w:tc>
          <w:tcPr>
            <w:tcW w:w="8376" w:type="dxa"/>
          </w:tcPr>
          <w:p w14:paraId="5B9CE3B2" w14:textId="77777777" w:rsidR="00F5207B" w:rsidRDefault="00F5207B">
            <w:pPr>
              <w:spacing w:after="0"/>
              <w:rPr>
                <w:rFonts w:ascii="Arial" w:hAnsi="Arial" w:cs="Arial"/>
                <w:b/>
                <w:sz w:val="24"/>
                <w:szCs w:val="24"/>
                <w:u w:val="single"/>
              </w:rPr>
            </w:pPr>
            <w:r>
              <w:rPr>
                <w:rFonts w:ascii="Arial" w:hAnsi="Arial" w:cs="Arial"/>
                <w:b/>
                <w:sz w:val="24"/>
                <w:szCs w:val="24"/>
                <w:u w:val="single"/>
              </w:rPr>
              <w:t>CONTACT OFFICER</w:t>
            </w:r>
          </w:p>
          <w:p w14:paraId="2CD802C0" w14:textId="77777777" w:rsidR="00F5207B" w:rsidRDefault="00F5207B">
            <w:pPr>
              <w:spacing w:after="0"/>
              <w:rPr>
                <w:rFonts w:ascii="Arial" w:hAnsi="Arial" w:cs="Arial"/>
                <w:sz w:val="24"/>
                <w:szCs w:val="24"/>
              </w:rPr>
            </w:pPr>
            <w:r>
              <w:rPr>
                <w:rFonts w:ascii="Arial" w:hAnsi="Arial" w:cs="Arial"/>
                <w:sz w:val="24"/>
                <w:szCs w:val="24"/>
              </w:rPr>
              <w:t>Darren Garwood-Pask, Chief Finance Officer.</w:t>
            </w:r>
          </w:p>
          <w:p w14:paraId="75EE467B" w14:textId="77777777" w:rsidR="00F5207B" w:rsidRDefault="00F5207B">
            <w:pPr>
              <w:spacing w:after="0"/>
              <w:rPr>
                <w:rFonts w:ascii="Arial" w:hAnsi="Arial" w:cs="Arial"/>
              </w:rPr>
            </w:pPr>
          </w:p>
        </w:tc>
      </w:tr>
      <w:tr w:rsidR="00F5207B" w14:paraId="5CDFAE4C" w14:textId="77777777" w:rsidTr="000167AE">
        <w:tc>
          <w:tcPr>
            <w:tcW w:w="684" w:type="dxa"/>
          </w:tcPr>
          <w:p w14:paraId="58A2E563" w14:textId="77777777" w:rsidR="00F5207B" w:rsidRDefault="004E3038">
            <w:pPr>
              <w:spacing w:after="0"/>
              <w:rPr>
                <w:rFonts w:ascii="Arial" w:hAnsi="Arial" w:cs="Arial"/>
                <w:b/>
                <w:sz w:val="24"/>
                <w:szCs w:val="24"/>
              </w:rPr>
            </w:pPr>
            <w:r>
              <w:rPr>
                <w:rFonts w:ascii="Arial" w:hAnsi="Arial" w:cs="Arial"/>
                <w:b/>
                <w:sz w:val="24"/>
                <w:szCs w:val="24"/>
              </w:rPr>
              <w:t>13</w:t>
            </w:r>
            <w:r w:rsidR="00F5207B">
              <w:rPr>
                <w:rFonts w:ascii="Arial" w:hAnsi="Arial" w:cs="Arial"/>
                <w:b/>
                <w:sz w:val="24"/>
                <w:szCs w:val="24"/>
              </w:rPr>
              <w:t>.</w:t>
            </w:r>
          </w:p>
          <w:p w14:paraId="7C46EFB6" w14:textId="77777777" w:rsidR="00F5207B" w:rsidRDefault="004E3038">
            <w:pPr>
              <w:spacing w:after="0"/>
              <w:rPr>
                <w:rFonts w:ascii="Arial" w:hAnsi="Arial" w:cs="Arial"/>
                <w:sz w:val="24"/>
                <w:szCs w:val="24"/>
              </w:rPr>
            </w:pPr>
            <w:r>
              <w:rPr>
                <w:rFonts w:ascii="Arial" w:hAnsi="Arial" w:cs="Arial"/>
                <w:sz w:val="24"/>
                <w:szCs w:val="24"/>
              </w:rPr>
              <w:t>13</w:t>
            </w:r>
            <w:r w:rsidR="00F5207B">
              <w:rPr>
                <w:rFonts w:ascii="Arial" w:hAnsi="Arial" w:cs="Arial"/>
                <w:sz w:val="24"/>
                <w:szCs w:val="24"/>
              </w:rPr>
              <w:t>.1</w:t>
            </w:r>
          </w:p>
        </w:tc>
        <w:tc>
          <w:tcPr>
            <w:tcW w:w="8376" w:type="dxa"/>
          </w:tcPr>
          <w:p w14:paraId="486716C6" w14:textId="77777777" w:rsidR="00F5207B" w:rsidRDefault="00F5207B">
            <w:pPr>
              <w:spacing w:after="0"/>
              <w:rPr>
                <w:rFonts w:ascii="Arial" w:hAnsi="Arial" w:cs="Arial"/>
                <w:b/>
                <w:sz w:val="24"/>
                <w:szCs w:val="24"/>
                <w:u w:val="single"/>
              </w:rPr>
            </w:pPr>
            <w:r>
              <w:rPr>
                <w:rFonts w:ascii="Arial" w:hAnsi="Arial" w:cs="Arial"/>
                <w:b/>
                <w:sz w:val="24"/>
                <w:szCs w:val="24"/>
                <w:u w:val="single"/>
              </w:rPr>
              <w:t>ANNEXES</w:t>
            </w:r>
          </w:p>
          <w:p w14:paraId="35E174EF" w14:textId="40BA98E6" w:rsidR="004E3038" w:rsidRDefault="004E3038">
            <w:pPr>
              <w:spacing w:after="0"/>
              <w:rPr>
                <w:rFonts w:ascii="Arial" w:hAnsi="Arial" w:cs="Arial"/>
                <w:sz w:val="24"/>
                <w:szCs w:val="24"/>
              </w:rPr>
            </w:pPr>
            <w:r>
              <w:rPr>
                <w:rFonts w:ascii="Arial" w:hAnsi="Arial" w:cs="Arial"/>
                <w:sz w:val="24"/>
                <w:szCs w:val="24"/>
              </w:rPr>
              <w:t>Appendix 1 – Medium Term Financial Projections 20</w:t>
            </w:r>
            <w:r w:rsidR="007811F3">
              <w:rPr>
                <w:rFonts w:ascii="Arial" w:hAnsi="Arial" w:cs="Arial"/>
                <w:sz w:val="24"/>
                <w:szCs w:val="24"/>
              </w:rPr>
              <w:t>2</w:t>
            </w:r>
            <w:r w:rsidR="00E367E2">
              <w:rPr>
                <w:rFonts w:ascii="Arial" w:hAnsi="Arial" w:cs="Arial"/>
                <w:sz w:val="24"/>
                <w:szCs w:val="24"/>
              </w:rPr>
              <w:t>5</w:t>
            </w:r>
            <w:r w:rsidR="00F81C7D">
              <w:rPr>
                <w:rFonts w:ascii="Arial" w:hAnsi="Arial" w:cs="Arial"/>
                <w:sz w:val="24"/>
                <w:szCs w:val="24"/>
              </w:rPr>
              <w:t>/2</w:t>
            </w:r>
            <w:r w:rsidR="00E367E2">
              <w:rPr>
                <w:rFonts w:ascii="Arial" w:hAnsi="Arial" w:cs="Arial"/>
                <w:sz w:val="24"/>
                <w:szCs w:val="24"/>
              </w:rPr>
              <w:t>6</w:t>
            </w:r>
            <w:r>
              <w:rPr>
                <w:rFonts w:ascii="Arial" w:hAnsi="Arial" w:cs="Arial"/>
                <w:sz w:val="24"/>
                <w:szCs w:val="24"/>
              </w:rPr>
              <w:t xml:space="preserve"> to 202</w:t>
            </w:r>
            <w:r w:rsidR="00E367E2">
              <w:rPr>
                <w:rFonts w:ascii="Arial" w:hAnsi="Arial" w:cs="Arial"/>
                <w:sz w:val="24"/>
                <w:szCs w:val="24"/>
              </w:rPr>
              <w:t>9</w:t>
            </w:r>
            <w:r>
              <w:rPr>
                <w:rFonts w:ascii="Arial" w:hAnsi="Arial" w:cs="Arial"/>
                <w:sz w:val="24"/>
                <w:szCs w:val="24"/>
              </w:rPr>
              <w:t>/</w:t>
            </w:r>
            <w:r w:rsidR="00E367E2">
              <w:rPr>
                <w:rFonts w:ascii="Arial" w:hAnsi="Arial" w:cs="Arial"/>
                <w:sz w:val="24"/>
                <w:szCs w:val="24"/>
              </w:rPr>
              <w:t>30</w:t>
            </w:r>
            <w:r>
              <w:rPr>
                <w:rFonts w:ascii="Arial" w:hAnsi="Arial" w:cs="Arial"/>
                <w:sz w:val="24"/>
                <w:szCs w:val="24"/>
              </w:rPr>
              <w:t>.</w:t>
            </w:r>
          </w:p>
          <w:p w14:paraId="00B28D34" w14:textId="3060D408" w:rsidR="00F5207B" w:rsidRDefault="00F5207B" w:rsidP="00FB39CD">
            <w:pPr>
              <w:spacing w:after="0"/>
              <w:rPr>
                <w:rFonts w:ascii="Arial" w:hAnsi="Arial" w:cs="Arial"/>
                <w:b/>
                <w:sz w:val="24"/>
                <w:szCs w:val="24"/>
                <w:u w:val="single"/>
              </w:rPr>
            </w:pPr>
            <w:r>
              <w:rPr>
                <w:rFonts w:ascii="Arial" w:hAnsi="Arial" w:cs="Arial"/>
                <w:sz w:val="24"/>
                <w:szCs w:val="24"/>
              </w:rPr>
              <w:t xml:space="preserve">Appendix </w:t>
            </w:r>
            <w:r w:rsidR="007C1B5B">
              <w:rPr>
                <w:rFonts w:ascii="Arial" w:hAnsi="Arial" w:cs="Arial"/>
                <w:sz w:val="24"/>
                <w:szCs w:val="24"/>
              </w:rPr>
              <w:t>2</w:t>
            </w:r>
            <w:r>
              <w:rPr>
                <w:rFonts w:ascii="Arial" w:hAnsi="Arial" w:cs="Arial"/>
                <w:sz w:val="24"/>
                <w:szCs w:val="24"/>
              </w:rPr>
              <w:t xml:space="preserve"> – Reserves</w:t>
            </w:r>
            <w:r w:rsidR="00F81C7D">
              <w:rPr>
                <w:rFonts w:ascii="Arial" w:hAnsi="Arial" w:cs="Arial"/>
                <w:sz w:val="24"/>
                <w:szCs w:val="24"/>
              </w:rPr>
              <w:t xml:space="preserve"> and Committed Funds</w:t>
            </w:r>
            <w:r>
              <w:rPr>
                <w:rFonts w:ascii="Arial" w:hAnsi="Arial" w:cs="Arial"/>
                <w:sz w:val="24"/>
                <w:szCs w:val="24"/>
              </w:rPr>
              <w:t xml:space="preserve"> </w:t>
            </w:r>
            <w:r w:rsidR="004338B8">
              <w:rPr>
                <w:rFonts w:ascii="Arial" w:hAnsi="Arial" w:cs="Arial"/>
                <w:sz w:val="24"/>
                <w:szCs w:val="24"/>
              </w:rPr>
              <w:t xml:space="preserve">Position at </w:t>
            </w:r>
            <w:r w:rsidR="00E367E2">
              <w:rPr>
                <w:rFonts w:ascii="Arial" w:hAnsi="Arial" w:cs="Arial"/>
                <w:sz w:val="24"/>
                <w:szCs w:val="24"/>
              </w:rPr>
              <w:t>26</w:t>
            </w:r>
            <w:r w:rsidR="00E367E2" w:rsidRPr="00E367E2">
              <w:rPr>
                <w:rFonts w:ascii="Arial" w:hAnsi="Arial" w:cs="Arial"/>
                <w:sz w:val="24"/>
                <w:szCs w:val="24"/>
                <w:vertAlign w:val="superscript"/>
              </w:rPr>
              <w:t>th</w:t>
            </w:r>
            <w:r w:rsidR="00E367E2">
              <w:rPr>
                <w:rFonts w:ascii="Arial" w:hAnsi="Arial" w:cs="Arial"/>
                <w:sz w:val="24"/>
                <w:szCs w:val="24"/>
              </w:rPr>
              <w:t xml:space="preserve"> </w:t>
            </w:r>
            <w:r w:rsidR="007811F3" w:rsidRPr="00FB39CD">
              <w:rPr>
                <w:rFonts w:ascii="Arial" w:hAnsi="Arial" w:cs="Arial"/>
                <w:sz w:val="24"/>
                <w:szCs w:val="24"/>
              </w:rPr>
              <w:t>November</w:t>
            </w:r>
            <w:r w:rsidR="007811F3">
              <w:rPr>
                <w:rFonts w:ascii="Arial" w:hAnsi="Arial" w:cs="Arial"/>
                <w:sz w:val="24"/>
                <w:szCs w:val="24"/>
              </w:rPr>
              <w:t xml:space="preserve"> </w:t>
            </w:r>
            <w:r w:rsidR="004338B8">
              <w:rPr>
                <w:rFonts w:ascii="Arial" w:hAnsi="Arial" w:cs="Arial"/>
                <w:sz w:val="24"/>
                <w:szCs w:val="24"/>
              </w:rPr>
              <w:t>20</w:t>
            </w:r>
            <w:r w:rsidR="007811F3">
              <w:rPr>
                <w:rFonts w:ascii="Arial" w:hAnsi="Arial" w:cs="Arial"/>
                <w:sz w:val="24"/>
                <w:szCs w:val="24"/>
              </w:rPr>
              <w:t>2</w:t>
            </w:r>
            <w:r w:rsidR="00E367E2">
              <w:rPr>
                <w:rFonts w:ascii="Arial" w:hAnsi="Arial" w:cs="Arial"/>
                <w:sz w:val="24"/>
                <w:szCs w:val="24"/>
              </w:rPr>
              <w:t>4</w:t>
            </w:r>
            <w:r>
              <w:rPr>
                <w:rFonts w:ascii="Arial" w:hAnsi="Arial" w:cs="Arial"/>
                <w:sz w:val="24"/>
                <w:szCs w:val="24"/>
              </w:rPr>
              <w:t>.</w:t>
            </w:r>
          </w:p>
        </w:tc>
      </w:tr>
    </w:tbl>
    <w:p w14:paraId="0C2E9279" w14:textId="77777777" w:rsidR="00F5207B" w:rsidRDefault="00F5207B" w:rsidP="00FB39CD">
      <w:pPr>
        <w:rPr>
          <w:rFonts w:ascii="Arial" w:hAnsi="Arial" w:cs="Arial"/>
          <w:sz w:val="24"/>
          <w:szCs w:val="24"/>
        </w:rPr>
      </w:pPr>
    </w:p>
    <w:sectPr w:rsidR="00F5207B">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150F" w14:textId="77777777" w:rsidR="00E100FA" w:rsidRDefault="00E100FA">
      <w:pPr>
        <w:spacing w:after="0" w:line="240" w:lineRule="auto"/>
      </w:pPr>
      <w:r>
        <w:separator/>
      </w:r>
    </w:p>
  </w:endnote>
  <w:endnote w:type="continuationSeparator" w:id="0">
    <w:p w14:paraId="49ECF0EA" w14:textId="77777777" w:rsidR="00E100FA" w:rsidRDefault="00E1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CBED" w14:textId="77777777" w:rsidR="00E100FA" w:rsidRDefault="00E100FA">
    <w:pPr>
      <w:pStyle w:val="Footer"/>
      <w:spacing w:after="0"/>
      <w:jc w:val="center"/>
      <w:rPr>
        <w:rFonts w:ascii="Arial" w:hAnsi="Arial" w:cs="Arial"/>
        <w:b/>
        <w:color w:val="FF0000"/>
        <w:sz w:val="24"/>
      </w:rPr>
    </w:pPr>
    <w:bookmarkStart w:id="2" w:name="aliashDefaultHeaderandFo1FooterEvenPages"/>
  </w:p>
  <w:bookmarkEnd w:id="2"/>
  <w:p w14:paraId="2EC7F800" w14:textId="77777777" w:rsidR="00E100FA" w:rsidRDefault="00E1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937" w14:textId="77777777" w:rsidR="00E100FA" w:rsidRDefault="00E100FA">
    <w:pPr>
      <w:pStyle w:val="Footer"/>
      <w:jc w:val="center"/>
    </w:pPr>
    <w:r>
      <w:fldChar w:fldCharType="begin"/>
    </w:r>
    <w:r>
      <w:instrText xml:space="preserve"> PAGE   \* MERGEFORMAT </w:instrText>
    </w:r>
    <w:r>
      <w:fldChar w:fldCharType="separate"/>
    </w:r>
    <w:r>
      <w:rPr>
        <w:noProof/>
      </w:rPr>
      <w:t>1</w:t>
    </w:r>
    <w:r>
      <w:rPr>
        <w:noProof/>
      </w:rPr>
      <w:fldChar w:fldCharType="end"/>
    </w:r>
  </w:p>
  <w:p w14:paraId="568AD853" w14:textId="77777777" w:rsidR="00E100FA" w:rsidRDefault="00E1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08" w14:textId="77777777" w:rsidR="00E100FA" w:rsidRDefault="00E100FA">
    <w:pPr>
      <w:pStyle w:val="Footer"/>
      <w:spacing w:after="0"/>
      <w:jc w:val="center"/>
      <w:rPr>
        <w:rFonts w:ascii="Arial" w:hAnsi="Arial" w:cs="Arial"/>
        <w:b/>
        <w:color w:val="FF0000"/>
        <w:sz w:val="24"/>
      </w:rPr>
    </w:pPr>
    <w:bookmarkStart w:id="4" w:name="aliashDefaultHeaderandFo1FooterFirstPage"/>
  </w:p>
  <w:bookmarkEnd w:id="4"/>
  <w:p w14:paraId="2B0A2F7D" w14:textId="77777777" w:rsidR="00E100FA" w:rsidRDefault="00E1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EA5F" w14:textId="77777777" w:rsidR="00E100FA" w:rsidRDefault="00E100FA">
      <w:pPr>
        <w:spacing w:after="0" w:line="240" w:lineRule="auto"/>
      </w:pPr>
      <w:r>
        <w:separator/>
      </w:r>
    </w:p>
  </w:footnote>
  <w:footnote w:type="continuationSeparator" w:id="0">
    <w:p w14:paraId="268F5211" w14:textId="77777777" w:rsidR="00E100FA" w:rsidRDefault="00E100FA">
      <w:pPr>
        <w:spacing w:after="0" w:line="240" w:lineRule="auto"/>
      </w:pPr>
      <w:r>
        <w:continuationSeparator/>
      </w:r>
    </w:p>
  </w:footnote>
  <w:footnote w:id="1">
    <w:p w14:paraId="580AEAB0" w14:textId="77777777" w:rsidR="00E100FA" w:rsidRPr="00E3379F" w:rsidRDefault="00E100FA" w:rsidP="00CE0303">
      <w:pPr>
        <w:pStyle w:val="FootnoteText"/>
        <w:spacing w:after="0"/>
        <w:rPr>
          <w:rFonts w:cs="Calibri"/>
          <w:sz w:val="18"/>
          <w:szCs w:val="18"/>
        </w:rPr>
      </w:pPr>
      <w:r w:rsidRPr="00E3379F">
        <w:rPr>
          <w:rStyle w:val="FootnoteReference"/>
          <w:sz w:val="18"/>
          <w:szCs w:val="18"/>
        </w:rPr>
        <w:footnoteRef/>
      </w:r>
      <w:r w:rsidRPr="00E3379F">
        <w:rPr>
          <w:sz w:val="18"/>
          <w:szCs w:val="18"/>
        </w:rPr>
        <w:t xml:space="preserve"> </w:t>
      </w:r>
      <w:r w:rsidRPr="00E3379F">
        <w:rPr>
          <w:rFonts w:cs="Calibri"/>
          <w:sz w:val="18"/>
          <w:szCs w:val="18"/>
        </w:rPr>
        <w:t>The Commissioner follows best practice in that for each reserve/committed fund, a clear protocol exists setting out:</w:t>
      </w:r>
    </w:p>
    <w:p w14:paraId="35DA569B"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The reason for/purpose of the reserve/committed fund;</w:t>
      </w:r>
    </w:p>
    <w:p w14:paraId="14393BAC"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How and when the reserve/committed fund can be used;</w:t>
      </w:r>
    </w:p>
    <w:p w14:paraId="72B2F446"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Procedures for the reserve/committed fund’s management and control; and</w:t>
      </w:r>
    </w:p>
    <w:p w14:paraId="56520383" w14:textId="77777777" w:rsidR="00E100FA" w:rsidRPr="00E3379F" w:rsidRDefault="00E100FA" w:rsidP="00223CAB">
      <w:pPr>
        <w:pStyle w:val="FootnoteText"/>
        <w:numPr>
          <w:ilvl w:val="0"/>
          <w:numId w:val="2"/>
        </w:numPr>
        <w:spacing w:after="0"/>
        <w:rPr>
          <w:rFonts w:cs="Calibri"/>
          <w:sz w:val="18"/>
          <w:szCs w:val="18"/>
        </w:rPr>
      </w:pPr>
      <w:r w:rsidRPr="00E3379F">
        <w:rPr>
          <w:rFonts w:cs="Calibri"/>
          <w:sz w:val="18"/>
          <w:szCs w:val="18"/>
        </w:rPr>
        <w:t>A process and timescale for review of the reserve/committed fund to ensure continuing relevance and adequacy.</w:t>
      </w:r>
    </w:p>
  </w:footnote>
  <w:footnote w:id="2">
    <w:p w14:paraId="235D8997" w14:textId="447C84C6" w:rsidR="00E100FA" w:rsidRDefault="00E100FA" w:rsidP="000274F0">
      <w:pPr>
        <w:pStyle w:val="NormalWeb"/>
        <w:spacing w:before="0" w:beforeAutospacing="0" w:after="0" w:afterAutospacing="0"/>
      </w:pPr>
      <w:r>
        <w:rPr>
          <w:rStyle w:val="FootnoteReference"/>
        </w:rPr>
        <w:footnoteRef/>
      </w:r>
      <w:r>
        <w:t xml:space="preserve"> </w:t>
      </w:r>
      <w:r>
        <w:rPr>
          <w:rFonts w:ascii="Calibri" w:hAnsi="Calibri" w:cs="Calibri"/>
          <w:sz w:val="20"/>
          <w:szCs w:val="20"/>
        </w:rPr>
        <w:t>A provision exists when the Commissioner is faced with a</w:t>
      </w:r>
      <w:r>
        <w:rPr>
          <w:rFonts w:ascii="Calibri" w:hAnsi="Calibri" w:cs="Calibri"/>
          <w:sz w:val="20"/>
          <w:szCs w:val="20"/>
          <w:lang w:val="en"/>
        </w:rPr>
        <w:t xml:space="preserve"> present obligation (legal or constructive) which has arisen as a result of a past event.  Furthermore, the payment is probable ('more likely than not') and the amount can be estimated reliably.  P</w:t>
      </w:r>
      <w:proofErr w:type="spellStart"/>
      <w:r>
        <w:rPr>
          <w:rFonts w:ascii="Calibri" w:hAnsi="Calibri" w:cs="Calibri"/>
          <w:sz w:val="20"/>
          <w:szCs w:val="20"/>
        </w:rPr>
        <w:t>rovisions</w:t>
      </w:r>
      <w:proofErr w:type="spellEnd"/>
      <w:r>
        <w:rPr>
          <w:rFonts w:ascii="Calibri" w:hAnsi="Calibri" w:cs="Calibri"/>
          <w:sz w:val="20"/>
          <w:szCs w:val="20"/>
        </w:rPr>
        <w:t xml:space="preserve"> are therefore provided for and accounted via the Comprehensive Income and Expenditure Statement (CIES) in the year in question, </w:t>
      </w:r>
      <w:r w:rsidR="00000C49">
        <w:rPr>
          <w:rFonts w:ascii="Calibri" w:hAnsi="Calibri" w:cs="Calibri"/>
          <w:sz w:val="20"/>
          <w:szCs w:val="20"/>
        </w:rPr>
        <w:t>i.e.,</w:t>
      </w:r>
      <w:r>
        <w:rPr>
          <w:rFonts w:ascii="Calibri" w:hAnsi="Calibri" w:cs="Calibri"/>
          <w:sz w:val="20"/>
          <w:szCs w:val="20"/>
        </w:rPr>
        <w:t xml:space="preserve"> not set aside as a Committed Earmarked Fund for utilisation in future years.</w:t>
      </w:r>
      <w:r>
        <w:rPr>
          <w:rFonts w:ascii="Arial" w:hAnsi="Arial" w:cs="Arial"/>
          <w:sz w:val="20"/>
          <w:szCs w:val="20"/>
        </w:rPr>
        <w:t xml:space="preserve"> </w:t>
      </w:r>
    </w:p>
  </w:footnote>
  <w:footnote w:id="3">
    <w:p w14:paraId="567426E4" w14:textId="77777777" w:rsidR="00E100FA" w:rsidRDefault="00E100FA" w:rsidP="000274F0">
      <w:pPr>
        <w:pStyle w:val="FootnoteText"/>
        <w:spacing w:after="0"/>
      </w:pPr>
      <w:r>
        <w:rPr>
          <w:rStyle w:val="FootnoteReference"/>
        </w:rPr>
        <w:footnoteRef/>
      </w:r>
      <w:r>
        <w:t xml:space="preserve"> Programme Fusion is a collaborative venture between South Wales and Gwent Police, helping both forces cut crime, reduce costs, and provide an effective, efficient police service, by ensuring officers and staff are using the latest technology, giving them the information they need, when they need it.</w:t>
      </w:r>
    </w:p>
    <w:p w14:paraId="4104EC25" w14:textId="77777777" w:rsidR="00E100FA" w:rsidRDefault="00E100FA" w:rsidP="000274F0">
      <w:pPr>
        <w:pStyle w:val="FootnoteText"/>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8C63" w14:textId="77777777" w:rsidR="00E100FA" w:rsidRDefault="00E100FA">
    <w:pPr>
      <w:pStyle w:val="Header"/>
      <w:spacing w:after="0"/>
      <w:jc w:val="center"/>
      <w:rPr>
        <w:rFonts w:ascii="Arial" w:hAnsi="Arial" w:cs="Arial"/>
        <w:b/>
        <w:color w:val="FF0000"/>
        <w:sz w:val="24"/>
      </w:rPr>
    </w:pPr>
    <w:bookmarkStart w:id="0" w:name="aliashDefaultHeaderandFo1HeaderEvenPages"/>
  </w:p>
  <w:bookmarkEnd w:id="0"/>
  <w:p w14:paraId="749D6D88" w14:textId="77777777" w:rsidR="00E100FA" w:rsidRDefault="00E1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4BF1" w14:textId="77777777" w:rsidR="00E100FA" w:rsidRDefault="00E100FA">
    <w:pPr>
      <w:pStyle w:val="Header"/>
      <w:spacing w:after="0"/>
      <w:jc w:val="center"/>
      <w:rPr>
        <w:rFonts w:ascii="Arial" w:hAnsi="Arial" w:cs="Arial"/>
        <w:b/>
        <w:color w:val="FF0000"/>
        <w:sz w:val="24"/>
      </w:rPr>
    </w:pPr>
    <w:bookmarkStart w:id="1" w:name="aliashDefaultHeaderandFoot1HeaderPrimary"/>
  </w:p>
  <w:bookmarkEnd w:id="1"/>
  <w:p w14:paraId="60DB1472" w14:textId="77777777" w:rsidR="00E100FA" w:rsidRDefault="00E10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2651" w14:textId="77777777" w:rsidR="00E100FA" w:rsidRDefault="00E100FA">
    <w:pPr>
      <w:pStyle w:val="Header"/>
      <w:spacing w:after="0"/>
      <w:jc w:val="center"/>
      <w:rPr>
        <w:rFonts w:ascii="Arial" w:hAnsi="Arial" w:cs="Arial"/>
        <w:b/>
        <w:color w:val="FF0000"/>
        <w:sz w:val="24"/>
      </w:rPr>
    </w:pPr>
    <w:bookmarkStart w:id="3" w:name="aliashDefaultHeaderandFo1HeaderFirstPage"/>
  </w:p>
  <w:bookmarkEnd w:id="3"/>
  <w:p w14:paraId="169ACF8A" w14:textId="77777777" w:rsidR="00E100FA" w:rsidRDefault="00E1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2C9"/>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07EA5937"/>
    <w:multiLevelType w:val="multilevel"/>
    <w:tmpl w:val="947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9645C"/>
    <w:multiLevelType w:val="hybridMultilevel"/>
    <w:tmpl w:val="F9C6E282"/>
    <w:lvl w:ilvl="0" w:tplc="D294ED5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87579"/>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15B31F28"/>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20423131"/>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75615"/>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28B026CA"/>
    <w:multiLevelType w:val="hybridMultilevel"/>
    <w:tmpl w:val="84B6A768"/>
    <w:lvl w:ilvl="0" w:tplc="7E8C217E">
      <w:start w:val="1"/>
      <w:numFmt w:val="lowerRoman"/>
      <w:lvlText w:val="%1."/>
      <w:lvlJc w:val="right"/>
      <w:pPr>
        <w:tabs>
          <w:tab w:val="num" w:pos="720"/>
        </w:tabs>
        <w:ind w:left="720"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631F4"/>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5E7822"/>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86144"/>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1" w15:restartNumberingAfterBreak="0">
    <w:nsid w:val="42AB6A9B"/>
    <w:multiLevelType w:val="hybridMultilevel"/>
    <w:tmpl w:val="88D4B810"/>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6D1867"/>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CA6941"/>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058A6"/>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5" w15:restartNumberingAfterBreak="0">
    <w:nsid w:val="55C405B8"/>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57145424"/>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9CE71AD"/>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B65763F"/>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0" w15:restartNumberingAfterBreak="0">
    <w:nsid w:val="5C050042"/>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1" w15:restartNumberingAfterBreak="0">
    <w:nsid w:val="5CFA1CCA"/>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2" w15:restartNumberingAfterBreak="0">
    <w:nsid w:val="600748A8"/>
    <w:multiLevelType w:val="hybridMultilevel"/>
    <w:tmpl w:val="494A2C7A"/>
    <w:lvl w:ilvl="0" w:tplc="05947746">
      <w:start w:val="1"/>
      <w:numFmt w:val="lowerLetter"/>
      <w:lvlText w:val="%1)"/>
      <w:lvlJc w:val="left"/>
      <w:pPr>
        <w:ind w:left="360"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604A4D00"/>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4" w15:restartNumberingAfterBreak="0">
    <w:nsid w:val="618F70BA"/>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5" w15:restartNumberingAfterBreak="0">
    <w:nsid w:val="62BE50F8"/>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E20B2A"/>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5247FC"/>
    <w:multiLevelType w:val="hybridMultilevel"/>
    <w:tmpl w:val="FAC60472"/>
    <w:lvl w:ilvl="0" w:tplc="7C28ADBA">
      <w:start w:val="1"/>
      <w:numFmt w:val="decimal"/>
      <w:lvlText w:val="%1."/>
      <w:lvlJc w:val="left"/>
      <w:pPr>
        <w:ind w:left="30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968C5"/>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9" w15:restartNumberingAfterBreak="0">
    <w:nsid w:val="6EC31061"/>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0" w15:restartNumberingAfterBreak="0">
    <w:nsid w:val="71D53A94"/>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1433DA"/>
    <w:multiLevelType w:val="hybridMultilevel"/>
    <w:tmpl w:val="4FDE6B18"/>
    <w:lvl w:ilvl="0" w:tplc="EE04D3A0">
      <w:start w:val="1"/>
      <w:numFmt w:val="lowerRoman"/>
      <w:lvlText w:val="%1."/>
      <w:lvlJc w:val="left"/>
      <w:pPr>
        <w:tabs>
          <w:tab w:val="num" w:pos="720"/>
        </w:tabs>
        <w:ind w:left="720" w:hanging="357"/>
      </w:pPr>
      <w:rPr>
        <w:rFonts w:ascii="Arial" w:eastAsia="Calibri" w:hAnsi="Arial" w:cs="Arial"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2" w15:restartNumberingAfterBreak="0">
    <w:nsid w:val="7220109D"/>
    <w:multiLevelType w:val="hybridMultilevel"/>
    <w:tmpl w:val="0F7E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C77C6"/>
    <w:multiLevelType w:val="hybridMultilevel"/>
    <w:tmpl w:val="A55E7340"/>
    <w:lvl w:ilvl="0" w:tplc="0809001B">
      <w:start w:val="1"/>
      <w:numFmt w:val="lowerRoman"/>
      <w:lvlText w:val="%1."/>
      <w:lvlJc w:val="right"/>
      <w:pPr>
        <w:tabs>
          <w:tab w:val="num" w:pos="720"/>
        </w:tabs>
        <w:ind w:left="720" w:hanging="357"/>
      </w:pPr>
      <w:rPr>
        <w:rFonts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4" w15:restartNumberingAfterBreak="0">
    <w:nsid w:val="7AF01B92"/>
    <w:multiLevelType w:val="hybridMultilevel"/>
    <w:tmpl w:val="88D4B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F138B7"/>
    <w:multiLevelType w:val="hybridMultilevel"/>
    <w:tmpl w:val="A55E7340"/>
    <w:lvl w:ilvl="0" w:tplc="0809001B">
      <w:start w:val="1"/>
      <w:numFmt w:val="lowerRoman"/>
      <w:lvlText w:val="%1."/>
      <w:lvlJc w:val="right"/>
      <w:pPr>
        <w:tabs>
          <w:tab w:val="num" w:pos="720"/>
        </w:tabs>
        <w:ind w:left="720" w:hanging="357"/>
      </w:pPr>
      <w:rPr>
        <w:rFonts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6" w15:restartNumberingAfterBreak="0">
    <w:nsid w:val="7D230220"/>
    <w:multiLevelType w:val="hybridMultilevel"/>
    <w:tmpl w:val="3342B424"/>
    <w:lvl w:ilvl="0" w:tplc="EE04D3A0">
      <w:start w:val="1"/>
      <w:numFmt w:val="lowerRoman"/>
      <w:lvlText w:val="%1."/>
      <w:lvlJc w:val="left"/>
      <w:pPr>
        <w:tabs>
          <w:tab w:val="num" w:pos="720"/>
        </w:tabs>
        <w:ind w:left="720" w:hanging="357"/>
      </w:pPr>
      <w:rPr>
        <w:rFonts w:ascii="Arial" w:eastAsia="Calibri" w:hAnsi="Arial" w:cs="Arial" w:hint="default"/>
      </w:rPr>
    </w:lvl>
    <w:lvl w:ilvl="1" w:tplc="08090001">
      <w:start w:val="1"/>
      <w:numFmt w:val="bullet"/>
      <w:lvlText w:val=""/>
      <w:lvlJc w:val="left"/>
      <w:pPr>
        <w:ind w:left="1443" w:hanging="360"/>
      </w:pPr>
      <w:rPr>
        <w:rFonts w:ascii="Symbol" w:hAnsi="Symbol"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76943595">
    <w:abstractNumId w:val="12"/>
  </w:num>
  <w:num w:numId="2" w16cid:durableId="1371418697">
    <w:abstractNumId w:val="32"/>
  </w:num>
  <w:num w:numId="3" w16cid:durableId="1370379235">
    <w:abstractNumId w:val="5"/>
  </w:num>
  <w:num w:numId="4" w16cid:durableId="1660189103">
    <w:abstractNumId w:val="31"/>
  </w:num>
  <w:num w:numId="5" w16cid:durableId="1950356023">
    <w:abstractNumId w:val="22"/>
  </w:num>
  <w:num w:numId="6" w16cid:durableId="1687175265">
    <w:abstractNumId w:val="14"/>
  </w:num>
  <w:num w:numId="7" w16cid:durableId="599335971">
    <w:abstractNumId w:val="23"/>
  </w:num>
  <w:num w:numId="8" w16cid:durableId="1781346">
    <w:abstractNumId w:val="34"/>
  </w:num>
  <w:num w:numId="9" w16cid:durableId="789516491">
    <w:abstractNumId w:val="26"/>
  </w:num>
  <w:num w:numId="10" w16cid:durableId="1076123082">
    <w:abstractNumId w:val="13"/>
  </w:num>
  <w:num w:numId="11" w16cid:durableId="1468432273">
    <w:abstractNumId w:val="3"/>
  </w:num>
  <w:num w:numId="12" w16cid:durableId="869536429">
    <w:abstractNumId w:val="24"/>
  </w:num>
  <w:num w:numId="13" w16cid:durableId="778109500">
    <w:abstractNumId w:val="0"/>
  </w:num>
  <w:num w:numId="14" w16cid:durableId="2118786950">
    <w:abstractNumId w:val="20"/>
  </w:num>
  <w:num w:numId="15" w16cid:durableId="726489881">
    <w:abstractNumId w:val="29"/>
  </w:num>
  <w:num w:numId="16" w16cid:durableId="959461059">
    <w:abstractNumId w:val="33"/>
  </w:num>
  <w:num w:numId="17" w16cid:durableId="154609412">
    <w:abstractNumId w:val="10"/>
  </w:num>
  <w:num w:numId="18" w16cid:durableId="1451049973">
    <w:abstractNumId w:val="6"/>
  </w:num>
  <w:num w:numId="19" w16cid:durableId="1660697544">
    <w:abstractNumId w:val="17"/>
  </w:num>
  <w:num w:numId="20" w16cid:durableId="486938550">
    <w:abstractNumId w:val="16"/>
  </w:num>
  <w:num w:numId="21" w16cid:durableId="1646467076">
    <w:abstractNumId w:val="36"/>
  </w:num>
  <w:num w:numId="22" w16cid:durableId="1378506346">
    <w:abstractNumId w:val="15"/>
  </w:num>
  <w:num w:numId="23" w16cid:durableId="794446831">
    <w:abstractNumId w:val="19"/>
  </w:num>
  <w:num w:numId="24" w16cid:durableId="1822308038">
    <w:abstractNumId w:val="4"/>
  </w:num>
  <w:num w:numId="25" w16cid:durableId="1168594211">
    <w:abstractNumId w:val="25"/>
  </w:num>
  <w:num w:numId="26" w16cid:durableId="107966148">
    <w:abstractNumId w:val="8"/>
  </w:num>
  <w:num w:numId="27" w16cid:durableId="376392815">
    <w:abstractNumId w:val="9"/>
  </w:num>
  <w:num w:numId="28" w16cid:durableId="2082407558">
    <w:abstractNumId w:val="28"/>
  </w:num>
  <w:num w:numId="29" w16cid:durableId="1366833889">
    <w:abstractNumId w:val="21"/>
  </w:num>
  <w:num w:numId="30" w16cid:durableId="1185243698">
    <w:abstractNumId w:val="11"/>
  </w:num>
  <w:num w:numId="31" w16cid:durableId="893352023">
    <w:abstractNumId w:val="1"/>
  </w:num>
  <w:num w:numId="32" w16cid:durableId="28993506">
    <w:abstractNumId w:val="2"/>
  </w:num>
  <w:num w:numId="33" w16cid:durableId="132918239">
    <w:abstractNumId w:val="30"/>
  </w:num>
  <w:num w:numId="34" w16cid:durableId="254169458">
    <w:abstractNumId w:val="27"/>
  </w:num>
  <w:num w:numId="35" w16cid:durableId="1295602325">
    <w:abstractNumId w:val="7"/>
  </w:num>
  <w:num w:numId="36" w16cid:durableId="727456436">
    <w:abstractNumId w:val="18"/>
  </w:num>
  <w:num w:numId="37" w16cid:durableId="195875809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30"/>
    <w:rsid w:val="00000C49"/>
    <w:rsid w:val="00005385"/>
    <w:rsid w:val="00005F79"/>
    <w:rsid w:val="00006343"/>
    <w:rsid w:val="00006B34"/>
    <w:rsid w:val="00010658"/>
    <w:rsid w:val="00011ACF"/>
    <w:rsid w:val="00011DD5"/>
    <w:rsid w:val="000167AE"/>
    <w:rsid w:val="000264FA"/>
    <w:rsid w:val="000274F0"/>
    <w:rsid w:val="00030E6C"/>
    <w:rsid w:val="00032528"/>
    <w:rsid w:val="00032E21"/>
    <w:rsid w:val="00034898"/>
    <w:rsid w:val="00052501"/>
    <w:rsid w:val="00054A77"/>
    <w:rsid w:val="000565C9"/>
    <w:rsid w:val="000710D7"/>
    <w:rsid w:val="0007414D"/>
    <w:rsid w:val="0007626C"/>
    <w:rsid w:val="000762D8"/>
    <w:rsid w:val="0007650C"/>
    <w:rsid w:val="000828E3"/>
    <w:rsid w:val="000844F9"/>
    <w:rsid w:val="00086DB5"/>
    <w:rsid w:val="000902F2"/>
    <w:rsid w:val="00094F0C"/>
    <w:rsid w:val="000A2380"/>
    <w:rsid w:val="000B29AA"/>
    <w:rsid w:val="000B68C9"/>
    <w:rsid w:val="000C2BB3"/>
    <w:rsid w:val="000D088C"/>
    <w:rsid w:val="000D6331"/>
    <w:rsid w:val="000D6C0F"/>
    <w:rsid w:val="000E0BCD"/>
    <w:rsid w:val="000E18B9"/>
    <w:rsid w:val="000E21CD"/>
    <w:rsid w:val="000E21F2"/>
    <w:rsid w:val="000E23E0"/>
    <w:rsid w:val="000E388A"/>
    <w:rsid w:val="00102AF2"/>
    <w:rsid w:val="001063B3"/>
    <w:rsid w:val="00127F53"/>
    <w:rsid w:val="001348F8"/>
    <w:rsid w:val="001359D4"/>
    <w:rsid w:val="00147155"/>
    <w:rsid w:val="001478AA"/>
    <w:rsid w:val="00151F21"/>
    <w:rsid w:val="0015512C"/>
    <w:rsid w:val="001625C1"/>
    <w:rsid w:val="00162F0A"/>
    <w:rsid w:val="00165A48"/>
    <w:rsid w:val="001719A9"/>
    <w:rsid w:val="00171E3B"/>
    <w:rsid w:val="001732E6"/>
    <w:rsid w:val="001759B9"/>
    <w:rsid w:val="00175B7C"/>
    <w:rsid w:val="00180AD7"/>
    <w:rsid w:val="001B174A"/>
    <w:rsid w:val="001C0608"/>
    <w:rsid w:val="001C1909"/>
    <w:rsid w:val="001C77E3"/>
    <w:rsid w:val="001C7ED8"/>
    <w:rsid w:val="001D004D"/>
    <w:rsid w:val="001D1BB6"/>
    <w:rsid w:val="001D29F9"/>
    <w:rsid w:val="001D3744"/>
    <w:rsid w:val="001F3343"/>
    <w:rsid w:val="001F40EE"/>
    <w:rsid w:val="00223CAB"/>
    <w:rsid w:val="00230472"/>
    <w:rsid w:val="00233AB1"/>
    <w:rsid w:val="0023401D"/>
    <w:rsid w:val="00236675"/>
    <w:rsid w:val="002404B1"/>
    <w:rsid w:val="00241CCA"/>
    <w:rsid w:val="002528D2"/>
    <w:rsid w:val="00252D84"/>
    <w:rsid w:val="002544AF"/>
    <w:rsid w:val="00254EF3"/>
    <w:rsid w:val="002636CA"/>
    <w:rsid w:val="00280AF6"/>
    <w:rsid w:val="0028146B"/>
    <w:rsid w:val="002836D6"/>
    <w:rsid w:val="002850D3"/>
    <w:rsid w:val="0028681A"/>
    <w:rsid w:val="00293F04"/>
    <w:rsid w:val="00297D9B"/>
    <w:rsid w:val="002A02B8"/>
    <w:rsid w:val="002B1BCE"/>
    <w:rsid w:val="002C052E"/>
    <w:rsid w:val="002C0A29"/>
    <w:rsid w:val="002C24E4"/>
    <w:rsid w:val="002C3593"/>
    <w:rsid w:val="002C39A2"/>
    <w:rsid w:val="002C3E66"/>
    <w:rsid w:val="002C47BD"/>
    <w:rsid w:val="002C7170"/>
    <w:rsid w:val="002C77A0"/>
    <w:rsid w:val="002D1ABD"/>
    <w:rsid w:val="002E336C"/>
    <w:rsid w:val="002F7990"/>
    <w:rsid w:val="003055E7"/>
    <w:rsid w:val="00306977"/>
    <w:rsid w:val="003145FF"/>
    <w:rsid w:val="003226EE"/>
    <w:rsid w:val="003229EF"/>
    <w:rsid w:val="00327122"/>
    <w:rsid w:val="00344304"/>
    <w:rsid w:val="0035181B"/>
    <w:rsid w:val="003549DF"/>
    <w:rsid w:val="003634B7"/>
    <w:rsid w:val="003659D1"/>
    <w:rsid w:val="00374400"/>
    <w:rsid w:val="003823F4"/>
    <w:rsid w:val="00383F8E"/>
    <w:rsid w:val="0038472A"/>
    <w:rsid w:val="00394E4C"/>
    <w:rsid w:val="003A23A5"/>
    <w:rsid w:val="003A391A"/>
    <w:rsid w:val="003A4B75"/>
    <w:rsid w:val="003A788A"/>
    <w:rsid w:val="003B1FC4"/>
    <w:rsid w:val="003B3454"/>
    <w:rsid w:val="003B3A2E"/>
    <w:rsid w:val="003C0C5B"/>
    <w:rsid w:val="003C6715"/>
    <w:rsid w:val="003E2DF3"/>
    <w:rsid w:val="003E5D52"/>
    <w:rsid w:val="003E6059"/>
    <w:rsid w:val="003F0BD1"/>
    <w:rsid w:val="003F1F1B"/>
    <w:rsid w:val="003F1FCE"/>
    <w:rsid w:val="003F3358"/>
    <w:rsid w:val="003F7C2A"/>
    <w:rsid w:val="00404208"/>
    <w:rsid w:val="00405C34"/>
    <w:rsid w:val="00407FB5"/>
    <w:rsid w:val="00413C94"/>
    <w:rsid w:val="0042196C"/>
    <w:rsid w:val="004246EC"/>
    <w:rsid w:val="00425FE8"/>
    <w:rsid w:val="00431995"/>
    <w:rsid w:val="004338B8"/>
    <w:rsid w:val="00436AAC"/>
    <w:rsid w:val="00451A37"/>
    <w:rsid w:val="00456465"/>
    <w:rsid w:val="00471CD4"/>
    <w:rsid w:val="004724DF"/>
    <w:rsid w:val="00476B2F"/>
    <w:rsid w:val="0047722F"/>
    <w:rsid w:val="0048010E"/>
    <w:rsid w:val="00491177"/>
    <w:rsid w:val="00494597"/>
    <w:rsid w:val="004A7B35"/>
    <w:rsid w:val="004B3A64"/>
    <w:rsid w:val="004B4520"/>
    <w:rsid w:val="004B47B7"/>
    <w:rsid w:val="004B6580"/>
    <w:rsid w:val="004C06F6"/>
    <w:rsid w:val="004C215B"/>
    <w:rsid w:val="004C2F29"/>
    <w:rsid w:val="004C6E1C"/>
    <w:rsid w:val="004D07AD"/>
    <w:rsid w:val="004D285E"/>
    <w:rsid w:val="004D3319"/>
    <w:rsid w:val="004E26F3"/>
    <w:rsid w:val="004E2763"/>
    <w:rsid w:val="004E3038"/>
    <w:rsid w:val="004F14BA"/>
    <w:rsid w:val="004F3D62"/>
    <w:rsid w:val="004F77BA"/>
    <w:rsid w:val="00501F88"/>
    <w:rsid w:val="005040D0"/>
    <w:rsid w:val="005072EA"/>
    <w:rsid w:val="00517C4B"/>
    <w:rsid w:val="005200D4"/>
    <w:rsid w:val="005217D4"/>
    <w:rsid w:val="00533655"/>
    <w:rsid w:val="00541E0A"/>
    <w:rsid w:val="00542E40"/>
    <w:rsid w:val="00550480"/>
    <w:rsid w:val="005573D0"/>
    <w:rsid w:val="005617AF"/>
    <w:rsid w:val="00562D6A"/>
    <w:rsid w:val="00566DD4"/>
    <w:rsid w:val="005709F0"/>
    <w:rsid w:val="00572311"/>
    <w:rsid w:val="00574EBF"/>
    <w:rsid w:val="005768A5"/>
    <w:rsid w:val="0057702B"/>
    <w:rsid w:val="0059067E"/>
    <w:rsid w:val="00592962"/>
    <w:rsid w:val="00592FE2"/>
    <w:rsid w:val="00593790"/>
    <w:rsid w:val="0059743D"/>
    <w:rsid w:val="005A7C71"/>
    <w:rsid w:val="005B0F59"/>
    <w:rsid w:val="005B3415"/>
    <w:rsid w:val="005C2486"/>
    <w:rsid w:val="005C4423"/>
    <w:rsid w:val="005C478B"/>
    <w:rsid w:val="005C554B"/>
    <w:rsid w:val="005D0966"/>
    <w:rsid w:val="005E258F"/>
    <w:rsid w:val="005E3294"/>
    <w:rsid w:val="005E439C"/>
    <w:rsid w:val="005E7169"/>
    <w:rsid w:val="005F15A5"/>
    <w:rsid w:val="005F2D6E"/>
    <w:rsid w:val="005F52D8"/>
    <w:rsid w:val="005F6578"/>
    <w:rsid w:val="005F658A"/>
    <w:rsid w:val="00606B76"/>
    <w:rsid w:val="006075F3"/>
    <w:rsid w:val="00611902"/>
    <w:rsid w:val="006138CA"/>
    <w:rsid w:val="006219DB"/>
    <w:rsid w:val="006334B9"/>
    <w:rsid w:val="00634A4B"/>
    <w:rsid w:val="006364BB"/>
    <w:rsid w:val="00642DF6"/>
    <w:rsid w:val="00660112"/>
    <w:rsid w:val="00660421"/>
    <w:rsid w:val="00663997"/>
    <w:rsid w:val="00670DBA"/>
    <w:rsid w:val="0068430B"/>
    <w:rsid w:val="006855A3"/>
    <w:rsid w:val="00686F2A"/>
    <w:rsid w:val="00693536"/>
    <w:rsid w:val="0069535A"/>
    <w:rsid w:val="0069757B"/>
    <w:rsid w:val="006C08C3"/>
    <w:rsid w:val="006D1C82"/>
    <w:rsid w:val="006D6662"/>
    <w:rsid w:val="006D7321"/>
    <w:rsid w:val="006D7BAD"/>
    <w:rsid w:val="006E2730"/>
    <w:rsid w:val="006E7A84"/>
    <w:rsid w:val="006F13FA"/>
    <w:rsid w:val="007024CA"/>
    <w:rsid w:val="007079E9"/>
    <w:rsid w:val="007113FB"/>
    <w:rsid w:val="00714556"/>
    <w:rsid w:val="00716918"/>
    <w:rsid w:val="0073229F"/>
    <w:rsid w:val="007366BA"/>
    <w:rsid w:val="00742A31"/>
    <w:rsid w:val="00743389"/>
    <w:rsid w:val="00744F3C"/>
    <w:rsid w:val="007514C6"/>
    <w:rsid w:val="00753980"/>
    <w:rsid w:val="00760C73"/>
    <w:rsid w:val="00764BE1"/>
    <w:rsid w:val="00767646"/>
    <w:rsid w:val="007811F3"/>
    <w:rsid w:val="007A2F26"/>
    <w:rsid w:val="007B74FF"/>
    <w:rsid w:val="007C009A"/>
    <w:rsid w:val="007C1B5B"/>
    <w:rsid w:val="007C6157"/>
    <w:rsid w:val="007C7002"/>
    <w:rsid w:val="007D0C58"/>
    <w:rsid w:val="007D1A4E"/>
    <w:rsid w:val="007D58E3"/>
    <w:rsid w:val="007D748D"/>
    <w:rsid w:val="007E137E"/>
    <w:rsid w:val="007E27E2"/>
    <w:rsid w:val="007E617E"/>
    <w:rsid w:val="007F113B"/>
    <w:rsid w:val="007F75C4"/>
    <w:rsid w:val="007F7941"/>
    <w:rsid w:val="00803A0F"/>
    <w:rsid w:val="00811D43"/>
    <w:rsid w:val="008122FC"/>
    <w:rsid w:val="008124D7"/>
    <w:rsid w:val="008200F6"/>
    <w:rsid w:val="008222FB"/>
    <w:rsid w:val="00823185"/>
    <w:rsid w:val="00823E46"/>
    <w:rsid w:val="008262CF"/>
    <w:rsid w:val="008276B9"/>
    <w:rsid w:val="008307B4"/>
    <w:rsid w:val="0083175C"/>
    <w:rsid w:val="00834225"/>
    <w:rsid w:val="00836DE5"/>
    <w:rsid w:val="00842A6A"/>
    <w:rsid w:val="00851059"/>
    <w:rsid w:val="00853D45"/>
    <w:rsid w:val="00856786"/>
    <w:rsid w:val="00860C42"/>
    <w:rsid w:val="00867AC6"/>
    <w:rsid w:val="00872383"/>
    <w:rsid w:val="0088048C"/>
    <w:rsid w:val="00882396"/>
    <w:rsid w:val="00886BEC"/>
    <w:rsid w:val="0089020A"/>
    <w:rsid w:val="00891D20"/>
    <w:rsid w:val="0089433B"/>
    <w:rsid w:val="008976A0"/>
    <w:rsid w:val="008A1244"/>
    <w:rsid w:val="008A2F6A"/>
    <w:rsid w:val="008A3F02"/>
    <w:rsid w:val="008A45BE"/>
    <w:rsid w:val="008A5B00"/>
    <w:rsid w:val="008B233C"/>
    <w:rsid w:val="008C2EA9"/>
    <w:rsid w:val="008C45DE"/>
    <w:rsid w:val="008D6C2E"/>
    <w:rsid w:val="008D779F"/>
    <w:rsid w:val="008E0927"/>
    <w:rsid w:val="008E0F93"/>
    <w:rsid w:val="008E46B3"/>
    <w:rsid w:val="008F0963"/>
    <w:rsid w:val="008F3859"/>
    <w:rsid w:val="008F62B3"/>
    <w:rsid w:val="00901EC0"/>
    <w:rsid w:val="00906044"/>
    <w:rsid w:val="00913A24"/>
    <w:rsid w:val="00915CC1"/>
    <w:rsid w:val="00916171"/>
    <w:rsid w:val="00916982"/>
    <w:rsid w:val="00917739"/>
    <w:rsid w:val="00924896"/>
    <w:rsid w:val="009263B6"/>
    <w:rsid w:val="00926A91"/>
    <w:rsid w:val="009316F8"/>
    <w:rsid w:val="00932BE1"/>
    <w:rsid w:val="009458C2"/>
    <w:rsid w:val="009541B0"/>
    <w:rsid w:val="009562D3"/>
    <w:rsid w:val="00956F91"/>
    <w:rsid w:val="009641DC"/>
    <w:rsid w:val="009652E6"/>
    <w:rsid w:val="00971692"/>
    <w:rsid w:val="0097178F"/>
    <w:rsid w:val="00981E92"/>
    <w:rsid w:val="00982D5D"/>
    <w:rsid w:val="009857D5"/>
    <w:rsid w:val="009877AE"/>
    <w:rsid w:val="00995E23"/>
    <w:rsid w:val="009A458D"/>
    <w:rsid w:val="009A4DE1"/>
    <w:rsid w:val="009B5A4B"/>
    <w:rsid w:val="009C30B2"/>
    <w:rsid w:val="009C3AD6"/>
    <w:rsid w:val="009C5F60"/>
    <w:rsid w:val="009C6750"/>
    <w:rsid w:val="009D26BE"/>
    <w:rsid w:val="009E02A1"/>
    <w:rsid w:val="009E4D23"/>
    <w:rsid w:val="009E6FE0"/>
    <w:rsid w:val="009F46C3"/>
    <w:rsid w:val="009F5AAA"/>
    <w:rsid w:val="00A002FF"/>
    <w:rsid w:val="00A0232D"/>
    <w:rsid w:val="00A22075"/>
    <w:rsid w:val="00A25C08"/>
    <w:rsid w:val="00A25F08"/>
    <w:rsid w:val="00A3522E"/>
    <w:rsid w:val="00A3766A"/>
    <w:rsid w:val="00A46455"/>
    <w:rsid w:val="00A526C7"/>
    <w:rsid w:val="00A667D5"/>
    <w:rsid w:val="00A702EB"/>
    <w:rsid w:val="00A7091D"/>
    <w:rsid w:val="00A720D3"/>
    <w:rsid w:val="00A74B67"/>
    <w:rsid w:val="00A8274C"/>
    <w:rsid w:val="00A906C8"/>
    <w:rsid w:val="00A920A6"/>
    <w:rsid w:val="00A96CFE"/>
    <w:rsid w:val="00AA2C12"/>
    <w:rsid w:val="00AA6C75"/>
    <w:rsid w:val="00AB2307"/>
    <w:rsid w:val="00AB5221"/>
    <w:rsid w:val="00AC0F0C"/>
    <w:rsid w:val="00AC2C4A"/>
    <w:rsid w:val="00AC3A9A"/>
    <w:rsid w:val="00AC4358"/>
    <w:rsid w:val="00AD5F9C"/>
    <w:rsid w:val="00AD65DB"/>
    <w:rsid w:val="00AF1B01"/>
    <w:rsid w:val="00B21147"/>
    <w:rsid w:val="00B216E6"/>
    <w:rsid w:val="00B26CA9"/>
    <w:rsid w:val="00B30CD9"/>
    <w:rsid w:val="00B34948"/>
    <w:rsid w:val="00B378C9"/>
    <w:rsid w:val="00B42A2F"/>
    <w:rsid w:val="00B42A3D"/>
    <w:rsid w:val="00B42C19"/>
    <w:rsid w:val="00B464F5"/>
    <w:rsid w:val="00B53FCB"/>
    <w:rsid w:val="00B612E4"/>
    <w:rsid w:val="00B6705F"/>
    <w:rsid w:val="00B77192"/>
    <w:rsid w:val="00B83CBC"/>
    <w:rsid w:val="00B848C1"/>
    <w:rsid w:val="00B86615"/>
    <w:rsid w:val="00B92360"/>
    <w:rsid w:val="00B9295B"/>
    <w:rsid w:val="00B952C6"/>
    <w:rsid w:val="00BA1D7A"/>
    <w:rsid w:val="00BB5C3B"/>
    <w:rsid w:val="00BC1F1F"/>
    <w:rsid w:val="00BD12DB"/>
    <w:rsid w:val="00BD2001"/>
    <w:rsid w:val="00BD2F90"/>
    <w:rsid w:val="00BE0D03"/>
    <w:rsid w:val="00BE18FE"/>
    <w:rsid w:val="00BE1AE6"/>
    <w:rsid w:val="00BE71A3"/>
    <w:rsid w:val="00BF0EE9"/>
    <w:rsid w:val="00BF198E"/>
    <w:rsid w:val="00BF30AA"/>
    <w:rsid w:val="00BF504B"/>
    <w:rsid w:val="00C0611E"/>
    <w:rsid w:val="00C079E9"/>
    <w:rsid w:val="00C10DA4"/>
    <w:rsid w:val="00C127E2"/>
    <w:rsid w:val="00C13BF8"/>
    <w:rsid w:val="00C14FF4"/>
    <w:rsid w:val="00C159DD"/>
    <w:rsid w:val="00C21373"/>
    <w:rsid w:val="00C31969"/>
    <w:rsid w:val="00C32D96"/>
    <w:rsid w:val="00C34917"/>
    <w:rsid w:val="00C4517D"/>
    <w:rsid w:val="00C64CCD"/>
    <w:rsid w:val="00C7447E"/>
    <w:rsid w:val="00C80AFD"/>
    <w:rsid w:val="00C80DE9"/>
    <w:rsid w:val="00C90DA7"/>
    <w:rsid w:val="00C94EDD"/>
    <w:rsid w:val="00C95750"/>
    <w:rsid w:val="00CB12A0"/>
    <w:rsid w:val="00CB1CDA"/>
    <w:rsid w:val="00CC1F1A"/>
    <w:rsid w:val="00CD0901"/>
    <w:rsid w:val="00CD1553"/>
    <w:rsid w:val="00CD783E"/>
    <w:rsid w:val="00CE0303"/>
    <w:rsid w:val="00CF074C"/>
    <w:rsid w:val="00CF3AC0"/>
    <w:rsid w:val="00CF40AA"/>
    <w:rsid w:val="00CF4B7E"/>
    <w:rsid w:val="00D02169"/>
    <w:rsid w:val="00D02DEC"/>
    <w:rsid w:val="00D07D71"/>
    <w:rsid w:val="00D1219A"/>
    <w:rsid w:val="00D17743"/>
    <w:rsid w:val="00D17BED"/>
    <w:rsid w:val="00D20D82"/>
    <w:rsid w:val="00D26DDA"/>
    <w:rsid w:val="00D2780C"/>
    <w:rsid w:val="00D278F3"/>
    <w:rsid w:val="00D2797B"/>
    <w:rsid w:val="00D27D98"/>
    <w:rsid w:val="00D30D8B"/>
    <w:rsid w:val="00D30E2B"/>
    <w:rsid w:val="00D3173B"/>
    <w:rsid w:val="00D46638"/>
    <w:rsid w:val="00D4695D"/>
    <w:rsid w:val="00D505E7"/>
    <w:rsid w:val="00D506B7"/>
    <w:rsid w:val="00D50758"/>
    <w:rsid w:val="00D542AA"/>
    <w:rsid w:val="00D55228"/>
    <w:rsid w:val="00D6578D"/>
    <w:rsid w:val="00D7311B"/>
    <w:rsid w:val="00D73509"/>
    <w:rsid w:val="00D75F57"/>
    <w:rsid w:val="00D87F55"/>
    <w:rsid w:val="00D967BA"/>
    <w:rsid w:val="00DA6F70"/>
    <w:rsid w:val="00DA70AC"/>
    <w:rsid w:val="00DC1387"/>
    <w:rsid w:val="00DD2C97"/>
    <w:rsid w:val="00DD2C9B"/>
    <w:rsid w:val="00DD2DF0"/>
    <w:rsid w:val="00DD6E42"/>
    <w:rsid w:val="00DE2FF0"/>
    <w:rsid w:val="00DE3D3C"/>
    <w:rsid w:val="00DE4AB1"/>
    <w:rsid w:val="00DF37AE"/>
    <w:rsid w:val="00DF7593"/>
    <w:rsid w:val="00E053E0"/>
    <w:rsid w:val="00E100EB"/>
    <w:rsid w:val="00E100FA"/>
    <w:rsid w:val="00E10285"/>
    <w:rsid w:val="00E1706D"/>
    <w:rsid w:val="00E30BD3"/>
    <w:rsid w:val="00E31B5F"/>
    <w:rsid w:val="00E3379F"/>
    <w:rsid w:val="00E3489A"/>
    <w:rsid w:val="00E367E2"/>
    <w:rsid w:val="00E41530"/>
    <w:rsid w:val="00E50151"/>
    <w:rsid w:val="00E503C8"/>
    <w:rsid w:val="00E5420B"/>
    <w:rsid w:val="00E55F43"/>
    <w:rsid w:val="00E618EF"/>
    <w:rsid w:val="00E63545"/>
    <w:rsid w:val="00E82F59"/>
    <w:rsid w:val="00E84C19"/>
    <w:rsid w:val="00E94427"/>
    <w:rsid w:val="00E946AA"/>
    <w:rsid w:val="00E9779C"/>
    <w:rsid w:val="00EB5396"/>
    <w:rsid w:val="00EB55AB"/>
    <w:rsid w:val="00EC5441"/>
    <w:rsid w:val="00EC65C8"/>
    <w:rsid w:val="00ED6569"/>
    <w:rsid w:val="00EE696B"/>
    <w:rsid w:val="00EF41CB"/>
    <w:rsid w:val="00EF428C"/>
    <w:rsid w:val="00EF54D8"/>
    <w:rsid w:val="00F12B58"/>
    <w:rsid w:val="00F20D59"/>
    <w:rsid w:val="00F21084"/>
    <w:rsid w:val="00F24A27"/>
    <w:rsid w:val="00F341E4"/>
    <w:rsid w:val="00F352ED"/>
    <w:rsid w:val="00F41709"/>
    <w:rsid w:val="00F43213"/>
    <w:rsid w:val="00F44816"/>
    <w:rsid w:val="00F45906"/>
    <w:rsid w:val="00F46B42"/>
    <w:rsid w:val="00F5207B"/>
    <w:rsid w:val="00F549AB"/>
    <w:rsid w:val="00F5651C"/>
    <w:rsid w:val="00F57E17"/>
    <w:rsid w:val="00F618BE"/>
    <w:rsid w:val="00F65AC0"/>
    <w:rsid w:val="00F661AB"/>
    <w:rsid w:val="00F816B9"/>
    <w:rsid w:val="00F817F8"/>
    <w:rsid w:val="00F81C7D"/>
    <w:rsid w:val="00F91100"/>
    <w:rsid w:val="00FA0DCF"/>
    <w:rsid w:val="00FB39CD"/>
    <w:rsid w:val="00FC2415"/>
    <w:rsid w:val="00FC6C63"/>
    <w:rsid w:val="00FC6E66"/>
    <w:rsid w:val="00FE44F2"/>
    <w:rsid w:val="00FE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82675F4"/>
  <w15:chartTrackingRefBased/>
  <w15:docId w15:val="{B0776E62-C93F-46DD-8A60-C2C3D406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next w:val="Normal"/>
    <w:rsid w:val="008976A0"/>
    <w:pPr>
      <w:widowControl w:val="0"/>
      <w:adjustRightInd w:val="0"/>
      <w:spacing w:after="120" w:line="240" w:lineRule="exact"/>
      <w:jc w:val="both"/>
      <w:textAlignment w:val="baseline"/>
    </w:pPr>
    <w:rPr>
      <w:rFonts w:ascii="Verdana" w:eastAsia="Times New Roman" w:hAnsi="Verdana"/>
      <w:sz w:val="20"/>
      <w:szCs w:val="20"/>
      <w:lang w:val="en-US"/>
    </w:rPr>
  </w:style>
  <w:style w:type="paragraph" w:styleId="Header">
    <w:name w:val="header"/>
    <w:basedOn w:val="Normal"/>
    <w:semiHidden/>
    <w:unhideWhenUsed/>
    <w:pPr>
      <w:tabs>
        <w:tab w:val="center" w:pos="4513"/>
        <w:tab w:val="right" w:pos="9026"/>
      </w:tabs>
    </w:pPr>
  </w:style>
  <w:style w:type="character" w:customStyle="1" w:styleId="HeaderChar">
    <w:name w:val="Header Char"/>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semiHidden/>
    <w:unhideWhenUsed/>
    <w:rPr>
      <w:color w:val="0000FF"/>
      <w:u w:val="single"/>
    </w:rPr>
  </w:style>
  <w:style w:type="paragraph" w:styleId="ListParagraph">
    <w:name w:val="List Paragraph"/>
    <w:basedOn w:val="Normal"/>
    <w:qFormat/>
    <w:pPr>
      <w:spacing w:after="0" w:line="240" w:lineRule="auto"/>
      <w:ind w:left="720"/>
      <w:contextualSpacing/>
    </w:pPr>
    <w:rPr>
      <w:rFonts w:ascii="Times New Roman" w:hAnsi="Times New Roman"/>
      <w:sz w:val="24"/>
      <w:szCs w:val="24"/>
      <w:lang w:eastAsia="en-GB"/>
    </w:rPr>
  </w:style>
  <w:style w:type="paragraph" w:styleId="NoSpacing">
    <w:name w:val="No Spacing"/>
    <w:qFormat/>
    <w:rPr>
      <w:sz w:val="22"/>
      <w:szCs w:val="22"/>
      <w:lang w:eastAsia="en-US"/>
    </w:rPr>
  </w:style>
  <w:style w:type="character" w:customStyle="1" w:styleId="Heading1Char">
    <w:name w:val="Heading 1 Char"/>
    <w:rPr>
      <w:rFonts w:ascii="Cambria" w:eastAsia="Times New Roman" w:hAnsi="Cambria" w:cs="Times New Roman"/>
      <w:b/>
      <w:bCs/>
      <w:kern w:val="32"/>
      <w:sz w:val="32"/>
      <w:szCs w:val="32"/>
      <w:lang w:eastAsia="en-US"/>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paragraph" w:styleId="FootnoteText">
    <w:name w:val="footnote text"/>
    <w:basedOn w:val="Normal"/>
    <w:unhideWhenUsed/>
    <w:rPr>
      <w:sz w:val="20"/>
      <w:szCs w:val="20"/>
    </w:rPr>
  </w:style>
  <w:style w:type="character" w:customStyle="1" w:styleId="FootnoteTextChar">
    <w:name w:val="Footnote Text Char"/>
    <w:rPr>
      <w:lang w:eastAsia="en-US"/>
    </w:rPr>
  </w:style>
  <w:style w:type="character" w:styleId="FootnoteReference">
    <w:name w:val="footnote reference"/>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5F2D6E"/>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rsid w:val="004D07AD"/>
  </w:style>
  <w:style w:type="table" w:styleId="TableGrid">
    <w:name w:val="Table Grid"/>
    <w:basedOn w:val="TableNormal"/>
    <w:uiPriority w:val="59"/>
    <w:rsid w:val="004B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Bullets BJ"/>
    <w:unhideWhenUsed/>
    <w:rsid w:val="00767646"/>
    <w:pPr>
      <w:numPr>
        <w:numId w:val="36"/>
      </w:numPr>
      <w:spacing w:after="120"/>
    </w:pPr>
    <w:rPr>
      <w:rFonts w:ascii="Arial" w:eastAsia="Times New Roman" w:hAnsi="Arial" w:cs="Arial"/>
      <w:color w:val="333399"/>
      <w:lang w:eastAsia="en-US"/>
    </w:rPr>
  </w:style>
  <w:style w:type="paragraph" w:styleId="Revision">
    <w:name w:val="Revision"/>
    <w:hidden/>
    <w:uiPriority w:val="99"/>
    <w:semiHidden/>
    <w:rsid w:val="009458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96311">
      <w:bodyDiv w:val="1"/>
      <w:marLeft w:val="0"/>
      <w:marRight w:val="0"/>
      <w:marTop w:val="0"/>
      <w:marBottom w:val="0"/>
      <w:divBdr>
        <w:top w:val="none" w:sz="0" w:space="0" w:color="auto"/>
        <w:left w:val="none" w:sz="0" w:space="0" w:color="auto"/>
        <w:bottom w:val="none" w:sz="0" w:space="0" w:color="auto"/>
        <w:right w:val="none" w:sz="0" w:space="0" w:color="auto"/>
      </w:divBdr>
      <w:divsChild>
        <w:div w:id="50351035">
          <w:marLeft w:val="0"/>
          <w:marRight w:val="0"/>
          <w:marTop w:val="0"/>
          <w:marBottom w:val="0"/>
          <w:divBdr>
            <w:top w:val="none" w:sz="0" w:space="0" w:color="auto"/>
            <w:left w:val="none" w:sz="0" w:space="0" w:color="auto"/>
            <w:bottom w:val="none" w:sz="0" w:space="0" w:color="auto"/>
            <w:right w:val="none" w:sz="0" w:space="0" w:color="auto"/>
          </w:divBdr>
          <w:divsChild>
            <w:div w:id="1441677890">
              <w:marLeft w:val="0"/>
              <w:marRight w:val="0"/>
              <w:marTop w:val="0"/>
              <w:marBottom w:val="0"/>
              <w:divBdr>
                <w:top w:val="none" w:sz="0" w:space="0" w:color="auto"/>
                <w:left w:val="none" w:sz="0" w:space="0" w:color="auto"/>
                <w:bottom w:val="none" w:sz="0" w:space="0" w:color="auto"/>
                <w:right w:val="none" w:sz="0" w:space="0" w:color="auto"/>
              </w:divBdr>
              <w:divsChild>
                <w:div w:id="216162386">
                  <w:marLeft w:val="0"/>
                  <w:marRight w:val="0"/>
                  <w:marTop w:val="0"/>
                  <w:marBottom w:val="0"/>
                  <w:divBdr>
                    <w:top w:val="none" w:sz="0" w:space="0" w:color="auto"/>
                    <w:left w:val="none" w:sz="0" w:space="0" w:color="auto"/>
                    <w:bottom w:val="none" w:sz="0" w:space="0" w:color="auto"/>
                    <w:right w:val="none" w:sz="0" w:space="0" w:color="auto"/>
                  </w:divBdr>
                  <w:divsChild>
                    <w:div w:id="259945797">
                      <w:marLeft w:val="0"/>
                      <w:marRight w:val="0"/>
                      <w:marTop w:val="0"/>
                      <w:marBottom w:val="0"/>
                      <w:divBdr>
                        <w:top w:val="none" w:sz="0" w:space="0" w:color="auto"/>
                        <w:left w:val="none" w:sz="0" w:space="0" w:color="auto"/>
                        <w:bottom w:val="none" w:sz="0" w:space="0" w:color="auto"/>
                        <w:right w:val="none" w:sz="0" w:space="0" w:color="auto"/>
                      </w:divBdr>
                      <w:divsChild>
                        <w:div w:id="1089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68682">
      <w:bodyDiv w:val="1"/>
      <w:marLeft w:val="0"/>
      <w:marRight w:val="0"/>
      <w:marTop w:val="0"/>
      <w:marBottom w:val="0"/>
      <w:divBdr>
        <w:top w:val="none" w:sz="0" w:space="0" w:color="auto"/>
        <w:left w:val="none" w:sz="0" w:space="0" w:color="auto"/>
        <w:bottom w:val="none" w:sz="0" w:space="0" w:color="auto"/>
        <w:right w:val="none" w:sz="0" w:space="0" w:color="auto"/>
      </w:divBdr>
    </w:div>
    <w:div w:id="19066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F93AF-BF8E-4DD1-910A-96113B61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AGENDA ITEM NO</vt:lpstr>
    </vt:vector>
  </TitlesOfParts>
  <Company>Administrator</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NO</dc:title>
  <dc:subject/>
  <dc:creator>400280</dc:creator>
  <cp:keywords/>
  <dc:description>Original Content Created Date - 25/11/2020 10:53:00</dc:description>
  <cp:lastModifiedBy>Garwood, Darren</cp:lastModifiedBy>
  <cp:revision>6</cp:revision>
  <cp:lastPrinted>2017-08-15T06:53:00Z</cp:lastPrinted>
  <dcterms:created xsi:type="dcterms:W3CDTF">2024-11-15T14:23:00Z</dcterms:created>
  <dcterms:modified xsi:type="dcterms:W3CDTF">2024-11-18T07:41:00Z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NewReviewCycle">
    <vt:lpwstr/>
  </property>
  <property fmtid="{D5CDD505-2E9C-101B-9397-08002B2CF9AE}" pid="6" name="Protective Marking Classification">
    <vt:lpwstr>OFFICIAL - NO MARKING</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2020-11-25T09:53:11.6376314Z</vt:lpwstr>
  </property>
  <property fmtid="{D5CDD505-2E9C-101B-9397-08002B2CF9AE}" pid="12" name="MSIP_Label_f2acd28b-79a3-4a0f-b0ff-4b75658b1549_Name">
    <vt:lpwstr>OFFICIAL</vt:lpwstr>
  </property>
  <property fmtid="{D5CDD505-2E9C-101B-9397-08002B2CF9AE}" pid="13" name="MSIP_Label_f2acd28b-79a3-4a0f-b0ff-4b75658b1549_ActionId">
    <vt:lpwstr>60c61288-0f87-4ab7-a3d4-a13228211b0c</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ies>
</file>