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A16054" w:rsidRPr="00933DD9" w14:paraId="1BBCA355" w14:textId="77777777" w:rsidTr="006F7AC3">
        <w:tc>
          <w:tcPr>
            <w:tcW w:w="9242" w:type="dxa"/>
            <w:gridSpan w:val="2"/>
          </w:tcPr>
          <w:p w14:paraId="1210709B" w14:textId="77777777" w:rsidR="00A16054" w:rsidRPr="00933DD9" w:rsidRDefault="00A16054" w:rsidP="006F7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A16054" w:rsidRPr="00933DD9" w14:paraId="28DB8788" w14:textId="77777777" w:rsidTr="006F7AC3">
        <w:tc>
          <w:tcPr>
            <w:tcW w:w="2093" w:type="dxa"/>
          </w:tcPr>
          <w:p w14:paraId="2ED2B01F" w14:textId="3A45C93F" w:rsidR="00A16054" w:rsidRPr="00B01AB5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76375A">
              <w:rPr>
                <w:rFonts w:ascii="Arial" w:hAnsi="Arial" w:cs="Arial"/>
                <w:sz w:val="24"/>
                <w:szCs w:val="24"/>
              </w:rPr>
              <w:t>PCCG-2025-01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49" w:type="dxa"/>
          </w:tcPr>
          <w:p w14:paraId="63BB7099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A16054" w:rsidRPr="00933DD9" w14:paraId="5ADE4C4E" w14:textId="77777777" w:rsidTr="006F7AC3">
        <w:tc>
          <w:tcPr>
            <w:tcW w:w="2093" w:type="dxa"/>
          </w:tcPr>
          <w:p w14:paraId="08EB401B" w14:textId="77777777" w:rsidR="00A16054" w:rsidRPr="00B01AB5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B01AB5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</w:tcPr>
          <w:p w14:paraId="4406FB2A" w14:textId="74BAC6D2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Safer Streets Summer Initiatives Fund 2025</w:t>
            </w:r>
          </w:p>
        </w:tc>
      </w:tr>
      <w:tr w:rsidR="00A16054" w:rsidRPr="00933DD9" w14:paraId="73D2D2FF" w14:textId="77777777" w:rsidTr="006F7AC3">
        <w:tc>
          <w:tcPr>
            <w:tcW w:w="2093" w:type="dxa"/>
          </w:tcPr>
          <w:p w14:paraId="1D222235" w14:textId="77777777" w:rsidR="00A16054" w:rsidRPr="00B01AB5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B01AB5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</w:tcPr>
          <w:p w14:paraId="418704E0" w14:textId="02EEDDD8" w:rsidR="00A16054" w:rsidRPr="00933DD9" w:rsidRDefault="00A16054" w:rsidP="006F7A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A26">
              <w:rPr>
                <w:rFonts w:ascii="Arial" w:hAnsi="Arial" w:cs="Arial"/>
                <w:sz w:val="24"/>
                <w:szCs w:val="24"/>
              </w:rPr>
              <w:t xml:space="preserve">To record the decision to award </w:t>
            </w:r>
            <w:r>
              <w:rPr>
                <w:rFonts w:ascii="Arial" w:hAnsi="Arial" w:cs="Arial"/>
                <w:sz w:val="24"/>
                <w:szCs w:val="24"/>
              </w:rPr>
              <w:t xml:space="preserve">OPCC </w:t>
            </w:r>
            <w:r w:rsidRPr="00166A26">
              <w:rPr>
                <w:rFonts w:ascii="Arial" w:hAnsi="Arial" w:cs="Arial"/>
                <w:sz w:val="24"/>
                <w:szCs w:val="24"/>
              </w:rPr>
              <w:t xml:space="preserve">funding to </w:t>
            </w:r>
            <w:r>
              <w:rPr>
                <w:rFonts w:ascii="Arial" w:hAnsi="Arial" w:cs="Arial"/>
                <w:sz w:val="24"/>
                <w:szCs w:val="24"/>
              </w:rPr>
              <w:t xml:space="preserve">Community Safety Partners from </w:t>
            </w:r>
            <w:r w:rsidRPr="00166A2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Safer Streets Initiatives Fund </w:t>
            </w:r>
            <w:r w:rsidRPr="00166A26">
              <w:rPr>
                <w:rFonts w:ascii="Arial" w:hAnsi="Arial" w:cs="Arial"/>
                <w:sz w:val="24"/>
                <w:szCs w:val="24"/>
              </w:rPr>
              <w:t>within the 2</w:t>
            </w:r>
            <w:r>
              <w:rPr>
                <w:rFonts w:ascii="Arial" w:hAnsi="Arial" w:cs="Arial"/>
                <w:sz w:val="24"/>
                <w:szCs w:val="24"/>
              </w:rPr>
              <w:t>025</w:t>
            </w:r>
            <w:r w:rsidRPr="00166A26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 xml:space="preserve">6 OPCC </w:t>
            </w:r>
            <w:r w:rsidRPr="00166A26">
              <w:rPr>
                <w:rFonts w:ascii="Arial" w:hAnsi="Arial" w:cs="Arial"/>
                <w:sz w:val="24"/>
                <w:szCs w:val="24"/>
              </w:rPr>
              <w:t>budget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9F587BB" w14:textId="77777777" w:rsidR="00A16054" w:rsidRPr="00D8752E" w:rsidRDefault="00A16054" w:rsidP="00A16054">
      <w:pPr>
        <w:rPr>
          <w:rFonts w:ascii="Arial" w:hAnsi="Arial" w:cs="Arial"/>
          <w:sz w:val="24"/>
          <w:szCs w:val="24"/>
        </w:rPr>
      </w:pPr>
    </w:p>
    <w:p w14:paraId="5B64FDF4" w14:textId="77777777" w:rsidR="00A16054" w:rsidRPr="00D8752E" w:rsidRDefault="00A16054" w:rsidP="00A16054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A16054" w:rsidRPr="00933DD9" w14:paraId="7A591F43" w14:textId="77777777" w:rsidTr="006F7AC3">
        <w:tc>
          <w:tcPr>
            <w:tcW w:w="704" w:type="dxa"/>
            <w:tcBorders>
              <w:right w:val="single" w:sz="4" w:space="0" w:color="auto"/>
            </w:tcBorders>
          </w:tcPr>
          <w:p w14:paraId="4C6F5E92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437" w14:textId="77777777" w:rsidR="00A16054" w:rsidRPr="001D04C7" w:rsidRDefault="00A16054" w:rsidP="006F7A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provides under sections 9 and 10 that the Police and Crime Commissioner for a police area makes crime and disorder grants and acts in co-operation with responsible authorities and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makes arrangements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with criminal justice agencies for the exercise of functions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so as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provide an efficient and effective criminal justice system for the area.</w:t>
            </w:r>
          </w:p>
        </w:tc>
      </w:tr>
      <w:tr w:rsidR="00A16054" w:rsidRPr="00933DD9" w14:paraId="75653B1F" w14:textId="77777777" w:rsidTr="006F7AC3">
        <w:tc>
          <w:tcPr>
            <w:tcW w:w="704" w:type="dxa"/>
            <w:tcBorders>
              <w:right w:val="single" w:sz="4" w:space="0" w:color="auto"/>
            </w:tcBorders>
          </w:tcPr>
          <w:p w14:paraId="48115303" w14:textId="77777777" w:rsidR="00A16054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5BA" w14:textId="77777777" w:rsidR="00A16054" w:rsidRDefault="00A16054" w:rsidP="006F7A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requirements under the Act have been considered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line with the </w:t>
            </w:r>
            <w:r w:rsidRPr="001D04C7">
              <w:rPr>
                <w:rFonts w:ascii="Arial" w:hAnsi="Arial" w:cs="Arial"/>
                <w:sz w:val="24"/>
                <w:szCs w:val="24"/>
              </w:rPr>
              <w:t>Police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D04C7">
              <w:rPr>
                <w:rFonts w:ascii="Arial" w:hAnsi="Arial" w:cs="Arial"/>
                <w:sz w:val="24"/>
                <w:szCs w:val="24"/>
              </w:rPr>
              <w:t>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Justice </w:t>
            </w:r>
            <w:r w:rsidRPr="001D04C7">
              <w:rPr>
                <w:rFonts w:ascii="Arial" w:hAnsi="Arial" w:cs="Arial"/>
                <w:sz w:val="24"/>
                <w:szCs w:val="24"/>
              </w:rPr>
              <w:t>Plan</w:t>
            </w:r>
            <w:r>
              <w:rPr>
                <w:rFonts w:ascii="Arial" w:hAnsi="Arial" w:cs="Arial"/>
                <w:sz w:val="24"/>
                <w:szCs w:val="24"/>
              </w:rPr>
              <w:t xml:space="preserve"> for Gwent.</w:t>
            </w:r>
          </w:p>
          <w:p w14:paraId="35734008" w14:textId="14B9AFF6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the 2025/26 OPCC budget, the Police and Crime Commissioner has agreed to award £</w:t>
            </w:r>
            <w:r w:rsidR="000F09B3">
              <w:rPr>
                <w:rFonts w:ascii="Arial" w:hAnsi="Arial" w:cs="Arial"/>
                <w:sz w:val="24"/>
                <w:szCs w:val="24"/>
              </w:rPr>
              <w:t>5</w:t>
            </w:r>
            <w:r w:rsidR="00E81CD9">
              <w:rPr>
                <w:rFonts w:ascii="Arial" w:hAnsi="Arial" w:cs="Arial"/>
                <w:sz w:val="24"/>
                <w:szCs w:val="24"/>
              </w:rPr>
              <w:t>8</w:t>
            </w:r>
            <w:r w:rsidR="000F09B3">
              <w:rPr>
                <w:rFonts w:ascii="Arial" w:hAnsi="Arial" w:cs="Arial"/>
                <w:sz w:val="24"/>
                <w:szCs w:val="24"/>
              </w:rPr>
              <w:t>,245.44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contribute to community safety activities over the summer of 2025.  The OPCC funding awarded will support the following activities across Gwent:</w:t>
            </w:r>
          </w:p>
          <w:p w14:paraId="0BC3ADF6" w14:textId="77777777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288EE" w14:textId="3F11FD7F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054">
              <w:rPr>
                <w:rFonts w:ascii="Arial" w:hAnsi="Arial" w:cs="Arial"/>
                <w:b/>
                <w:bCs/>
                <w:sz w:val="24"/>
                <w:szCs w:val="24"/>
              </w:rPr>
              <w:t>Blaenau Gwent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£10,990 for a series of youth engagement events and activities designed to engage with young people in targeted ASB Hotspot areas</w:t>
            </w:r>
            <w:r w:rsidR="00A879B0">
              <w:rPr>
                <w:rFonts w:ascii="Arial" w:hAnsi="Arial" w:cs="Arial"/>
                <w:sz w:val="24"/>
                <w:szCs w:val="24"/>
              </w:rPr>
              <w:t xml:space="preserve"> across Blaenau Gwent including Tredegar, </w:t>
            </w:r>
            <w:proofErr w:type="spellStart"/>
            <w:r w:rsidR="002611D0">
              <w:rPr>
                <w:rFonts w:ascii="Arial" w:hAnsi="Arial" w:cs="Arial"/>
                <w:sz w:val="24"/>
                <w:szCs w:val="24"/>
              </w:rPr>
              <w:t>Nantyglo</w:t>
            </w:r>
            <w:proofErr w:type="spellEnd"/>
            <w:r w:rsidR="002611D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879B0">
              <w:rPr>
                <w:rFonts w:ascii="Arial" w:hAnsi="Arial" w:cs="Arial"/>
                <w:sz w:val="24"/>
                <w:szCs w:val="24"/>
              </w:rPr>
              <w:t xml:space="preserve">Brynmawr and </w:t>
            </w:r>
            <w:proofErr w:type="spellStart"/>
            <w:r w:rsidR="00A879B0">
              <w:rPr>
                <w:rFonts w:ascii="Arial" w:hAnsi="Arial" w:cs="Arial"/>
                <w:sz w:val="24"/>
                <w:szCs w:val="24"/>
              </w:rPr>
              <w:t>Abertillery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575980" w14:textId="77777777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49DF5" w14:textId="09018EFA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054">
              <w:rPr>
                <w:rFonts w:ascii="Arial" w:hAnsi="Arial" w:cs="Arial"/>
                <w:b/>
                <w:bCs/>
                <w:sz w:val="24"/>
                <w:szCs w:val="24"/>
              </w:rPr>
              <w:t>Caerphilly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£</w:t>
            </w:r>
            <w:r w:rsidR="002541D4">
              <w:rPr>
                <w:rFonts w:ascii="Arial" w:hAnsi="Arial" w:cs="Arial"/>
                <w:sz w:val="24"/>
                <w:szCs w:val="24"/>
              </w:rPr>
              <w:t>10,000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targeted youth outreach work in the communities of Lansbury Park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Penyrheol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0740AA" w14:textId="77777777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52852" w14:textId="07619F10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054">
              <w:rPr>
                <w:rFonts w:ascii="Arial" w:hAnsi="Arial" w:cs="Arial"/>
                <w:b/>
                <w:bCs/>
                <w:sz w:val="24"/>
                <w:szCs w:val="24"/>
              </w:rPr>
              <w:t>Monmouthshire</w:t>
            </w:r>
            <w:r>
              <w:rPr>
                <w:rFonts w:ascii="Arial" w:hAnsi="Arial" w:cs="Arial"/>
                <w:sz w:val="24"/>
                <w:szCs w:val="24"/>
              </w:rPr>
              <w:t xml:space="preserve"> - £10,000 for targeted youth outreach and business crime awareness/business engagement with the aim of reducing ASB in </w:t>
            </w:r>
            <w:r w:rsidR="00A879B0">
              <w:rPr>
                <w:rFonts w:ascii="Arial" w:hAnsi="Arial" w:cs="Arial"/>
                <w:sz w:val="24"/>
                <w:szCs w:val="24"/>
              </w:rPr>
              <w:t xml:space="preserve">Abergavenny </w:t>
            </w:r>
            <w:r>
              <w:rPr>
                <w:rFonts w:ascii="Arial" w:hAnsi="Arial" w:cs="Arial"/>
                <w:sz w:val="24"/>
                <w:szCs w:val="24"/>
              </w:rPr>
              <w:t>town centre</w:t>
            </w:r>
            <w:r w:rsidR="00A879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103320" w14:textId="77777777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D1B27A" w14:textId="3452914B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054">
              <w:rPr>
                <w:rFonts w:ascii="Arial" w:hAnsi="Arial" w:cs="Arial"/>
                <w:b/>
                <w:bCs/>
                <w:sz w:val="24"/>
                <w:szCs w:val="24"/>
              </w:rPr>
              <w:t>Newport -</w:t>
            </w:r>
            <w:r>
              <w:rPr>
                <w:rFonts w:ascii="Arial" w:hAnsi="Arial" w:cs="Arial"/>
                <w:sz w:val="24"/>
                <w:szCs w:val="24"/>
              </w:rPr>
              <w:t xml:space="preserve"> £1</w:t>
            </w:r>
            <w:r w:rsidR="005C2A66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,000 for </w:t>
            </w:r>
            <w:r w:rsidR="00B603C7">
              <w:rPr>
                <w:rFonts w:ascii="Arial" w:hAnsi="Arial" w:cs="Arial"/>
                <w:sz w:val="24"/>
                <w:szCs w:val="24"/>
              </w:rPr>
              <w:t xml:space="preserve">increased community safety warden patrols and </w:t>
            </w:r>
            <w:r w:rsidR="006D4184">
              <w:rPr>
                <w:rFonts w:ascii="Arial" w:hAnsi="Arial" w:cs="Arial"/>
                <w:sz w:val="24"/>
                <w:szCs w:val="24"/>
              </w:rPr>
              <w:t xml:space="preserve">a summer youth </w:t>
            </w:r>
            <w:r w:rsidR="00CB1B73">
              <w:rPr>
                <w:rFonts w:ascii="Arial" w:hAnsi="Arial" w:cs="Arial"/>
                <w:sz w:val="24"/>
                <w:szCs w:val="24"/>
              </w:rPr>
              <w:t xml:space="preserve">outreach </w:t>
            </w:r>
            <w:r w:rsidR="006D4184">
              <w:rPr>
                <w:rFonts w:ascii="Arial" w:hAnsi="Arial" w:cs="Arial"/>
                <w:sz w:val="24"/>
                <w:szCs w:val="24"/>
              </w:rPr>
              <w:t>programme in Newport city centre to include targeted yout</w:t>
            </w:r>
            <w:r w:rsidR="00CB1B73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="006D4184">
              <w:rPr>
                <w:rFonts w:ascii="Arial" w:hAnsi="Arial" w:cs="Arial"/>
                <w:sz w:val="24"/>
                <w:szCs w:val="24"/>
              </w:rPr>
              <w:t>engagement events and activities for young people.</w:t>
            </w:r>
            <w:r w:rsidR="005C2A6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190CF46" w14:textId="77777777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E97294" w14:textId="49CCE68F" w:rsidR="00A16054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054">
              <w:rPr>
                <w:rFonts w:ascii="Arial" w:hAnsi="Arial" w:cs="Arial"/>
                <w:b/>
                <w:bCs/>
                <w:sz w:val="24"/>
                <w:szCs w:val="24"/>
              </w:rPr>
              <w:t>Torfaen</w:t>
            </w:r>
            <w:r>
              <w:rPr>
                <w:rFonts w:ascii="Arial" w:hAnsi="Arial" w:cs="Arial"/>
                <w:sz w:val="24"/>
                <w:szCs w:val="24"/>
              </w:rPr>
              <w:t xml:space="preserve"> - £10,255.44 for targeted youth outreach in Cwmbran Town centre and a series of events and activities at Cwmbran Centre for Young People.</w:t>
            </w:r>
          </w:p>
          <w:p w14:paraId="06DD5DD4" w14:textId="77777777" w:rsidR="00A16054" w:rsidRPr="001D04C7" w:rsidRDefault="00A1605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A16054" w:rsidRPr="00933DD9" w14:paraId="632E37CE" w14:textId="77777777" w:rsidTr="006F7AC3">
        <w:tc>
          <w:tcPr>
            <w:tcW w:w="704" w:type="dxa"/>
            <w:tcBorders>
              <w:right w:val="single" w:sz="4" w:space="0" w:color="auto"/>
            </w:tcBorders>
          </w:tcPr>
          <w:p w14:paraId="4799FB70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62B" w14:textId="77777777" w:rsidR="00A16054" w:rsidRPr="001D04C7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award will be set out in </w:t>
            </w:r>
            <w:r>
              <w:rPr>
                <w:rFonts w:ascii="Arial" w:hAnsi="Arial" w:cs="Arial"/>
                <w:sz w:val="24"/>
                <w:szCs w:val="24"/>
              </w:rPr>
              <w:t xml:space="preserve">OPCC documentation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include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appropriate terms and conditions, purpose of the award and payment arrangements.  </w:t>
            </w:r>
          </w:p>
          <w:p w14:paraId="06D831B3" w14:textId="23A1FF55" w:rsidR="00A16054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n order to monitor </w:t>
            </w:r>
            <w:r>
              <w:rPr>
                <w:rFonts w:ascii="Arial" w:hAnsi="Arial" w:cs="Arial"/>
                <w:sz w:val="24"/>
                <w:szCs w:val="24"/>
              </w:rPr>
              <w:t>the funding awarded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and provide </w:t>
            </w:r>
            <w:r>
              <w:rPr>
                <w:rFonts w:ascii="Arial" w:hAnsi="Arial" w:cs="Arial"/>
                <w:sz w:val="24"/>
                <w:szCs w:val="24"/>
              </w:rPr>
              <w:t xml:space="preserve">assurance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that funding allocated is effectively meeting </w:t>
            </w: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riorities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6D4184">
              <w:rPr>
                <w:rFonts w:ascii="Arial" w:hAnsi="Arial" w:cs="Arial"/>
                <w:sz w:val="24"/>
                <w:szCs w:val="24"/>
              </w:rPr>
              <w:t>Safer Streets Initiatives Fund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, as outlined in the Police and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rime Plan, </w:t>
            </w:r>
            <w:r w:rsidR="006D4184">
              <w:rPr>
                <w:rFonts w:ascii="Arial" w:hAnsi="Arial" w:cs="Arial"/>
                <w:sz w:val="24"/>
                <w:szCs w:val="24"/>
              </w:rPr>
              <w:t xml:space="preserve">partners are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required to </w:t>
            </w:r>
            <w:r>
              <w:rPr>
                <w:rFonts w:ascii="Arial" w:hAnsi="Arial" w:cs="Arial"/>
                <w:sz w:val="24"/>
                <w:szCs w:val="24"/>
              </w:rPr>
              <w:t xml:space="preserve">submit their end of </w:t>
            </w:r>
            <w:r w:rsidR="006D4184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>
              <w:rPr>
                <w:rFonts w:ascii="Arial" w:hAnsi="Arial" w:cs="Arial"/>
                <w:sz w:val="24"/>
                <w:szCs w:val="24"/>
              </w:rPr>
              <w:t>report/documentation so that this can be reviewed by the OPCC, this may also be accompanied by a site visit.</w:t>
            </w:r>
          </w:p>
          <w:p w14:paraId="2EF76018" w14:textId="29924032" w:rsidR="00A16054" w:rsidRPr="001D04C7" w:rsidRDefault="006D4184" w:rsidP="006F7A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Partners will </w:t>
            </w:r>
            <w:r w:rsidR="00A16054" w:rsidRPr="001D04C7">
              <w:rPr>
                <w:rFonts w:ascii="Arial" w:hAnsi="Arial" w:cs="Arial"/>
                <w:sz w:val="24"/>
                <w:szCs w:val="24"/>
              </w:rPr>
              <w:t xml:space="preserve">be required to accept the </w:t>
            </w:r>
            <w:r w:rsidR="00A16054">
              <w:rPr>
                <w:rFonts w:ascii="Arial" w:hAnsi="Arial" w:cs="Arial"/>
                <w:sz w:val="24"/>
                <w:szCs w:val="24"/>
              </w:rPr>
              <w:t xml:space="preserve">above </w:t>
            </w:r>
            <w:r w:rsidR="00A16054" w:rsidRPr="001D04C7">
              <w:rPr>
                <w:rFonts w:ascii="Arial" w:hAnsi="Arial" w:cs="Arial"/>
                <w:sz w:val="24"/>
                <w:szCs w:val="24"/>
              </w:rPr>
              <w:t>terms and conditions</w:t>
            </w:r>
            <w:r w:rsidR="00A16054">
              <w:rPr>
                <w:rFonts w:ascii="Arial" w:hAnsi="Arial" w:cs="Arial"/>
                <w:sz w:val="24"/>
                <w:szCs w:val="24"/>
              </w:rPr>
              <w:t>,</w:t>
            </w:r>
            <w:r w:rsidR="00A16054"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</w:t>
            </w:r>
            <w:r w:rsidR="00A16054">
              <w:rPr>
                <w:rFonts w:ascii="Arial" w:hAnsi="Arial" w:cs="Arial"/>
                <w:sz w:val="24"/>
                <w:szCs w:val="24"/>
              </w:rPr>
              <w:t>OPCC documentation</w:t>
            </w:r>
            <w:r w:rsidR="00A16054" w:rsidRPr="001D04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page" w:tblpX="1911" w:tblpY="606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557"/>
      </w:tblGrid>
      <w:tr w:rsidR="00A16054" w:rsidRPr="00933DD9" w14:paraId="1D05B802" w14:textId="77777777" w:rsidTr="006F7AC3">
        <w:tc>
          <w:tcPr>
            <w:tcW w:w="9038" w:type="dxa"/>
            <w:gridSpan w:val="2"/>
          </w:tcPr>
          <w:p w14:paraId="03A64730" w14:textId="38665E21" w:rsidR="00A16054" w:rsidRPr="00933DD9" w:rsidRDefault="006D4184" w:rsidP="006F7A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 Mudd, Police and Crime Commissioner for Gwent</w:t>
            </w:r>
          </w:p>
        </w:tc>
      </w:tr>
      <w:tr w:rsidR="00A16054" w:rsidRPr="00933DD9" w14:paraId="32C85125" w14:textId="77777777" w:rsidTr="006F7AC3">
        <w:tc>
          <w:tcPr>
            <w:tcW w:w="9038" w:type="dxa"/>
            <w:gridSpan w:val="2"/>
          </w:tcPr>
          <w:p w14:paraId="7F70E7B5" w14:textId="77777777" w:rsidR="00A16054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the code of conduct of the OPCC.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297619CB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the approval of the Officers named above.</w:t>
            </w:r>
          </w:p>
        </w:tc>
      </w:tr>
      <w:tr w:rsidR="00A16054" w:rsidRPr="00933DD9" w14:paraId="08FD0BBD" w14:textId="77777777" w:rsidTr="006F7AC3">
        <w:trPr>
          <w:trHeight w:val="1111"/>
        </w:trPr>
        <w:tc>
          <w:tcPr>
            <w:tcW w:w="4481" w:type="dxa"/>
          </w:tcPr>
          <w:p w14:paraId="3456EFD5" w14:textId="77777777" w:rsidR="00A16054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49DDCE75" w14:textId="063B900E" w:rsidR="00A179FE" w:rsidRPr="00933DD9" w:rsidRDefault="00A179FE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121C1D" wp14:editId="6FCD52C2">
                  <wp:extent cx="1676400" cy="490855"/>
                  <wp:effectExtent l="0" t="0" r="0" b="4445"/>
                  <wp:docPr id="1758026091" name="Picture 1758026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</w:tcPr>
          <w:p w14:paraId="5D464C6C" w14:textId="77777777" w:rsidR="00A16054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1728AAD" w14:textId="32F66B69" w:rsidR="00A179FE" w:rsidRDefault="00A179FE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07.10.2025</w:t>
            </w:r>
          </w:p>
          <w:p w14:paraId="6CEEB6FB" w14:textId="77777777" w:rsidR="00A16054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E9CAB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054" w:rsidRPr="00933DD9" w14:paraId="18338284" w14:textId="77777777" w:rsidTr="006F7AC3">
        <w:tc>
          <w:tcPr>
            <w:tcW w:w="4481" w:type="dxa"/>
          </w:tcPr>
          <w:p w14:paraId="6EB80D4D" w14:textId="77777777" w:rsidR="00A16054" w:rsidRPr="00933DD9" w:rsidRDefault="00A16054" w:rsidP="006F7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557" w:type="dxa"/>
          </w:tcPr>
          <w:p w14:paraId="25E3334B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054" w:rsidRPr="007B00F3" w14:paraId="391F376A" w14:textId="77777777" w:rsidTr="006F7AC3">
        <w:tc>
          <w:tcPr>
            <w:tcW w:w="4481" w:type="dxa"/>
          </w:tcPr>
          <w:p w14:paraId="0B22B342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557" w:type="dxa"/>
          </w:tcPr>
          <w:p w14:paraId="4D43B262" w14:textId="77777777" w:rsidR="00A16054" w:rsidRPr="007B00F3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James</w:t>
            </w:r>
          </w:p>
        </w:tc>
      </w:tr>
      <w:tr w:rsidR="00A16054" w:rsidRPr="007B00F3" w14:paraId="34E91FB4" w14:textId="77777777" w:rsidTr="006F7AC3">
        <w:tc>
          <w:tcPr>
            <w:tcW w:w="4481" w:type="dxa"/>
          </w:tcPr>
          <w:p w14:paraId="7D9DA0DD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557" w:type="dxa"/>
          </w:tcPr>
          <w:p w14:paraId="233149CE" w14:textId="77777777" w:rsidR="00A16054" w:rsidRPr="007B00F3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Commissioning and Funding Manager</w:t>
            </w:r>
          </w:p>
        </w:tc>
      </w:tr>
      <w:tr w:rsidR="00A16054" w:rsidRPr="007B00F3" w14:paraId="614446F2" w14:textId="77777777" w:rsidTr="006F7AC3">
        <w:tc>
          <w:tcPr>
            <w:tcW w:w="4481" w:type="dxa"/>
          </w:tcPr>
          <w:p w14:paraId="6E721B3F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557" w:type="dxa"/>
          </w:tcPr>
          <w:p w14:paraId="2A8C3E71" w14:textId="77777777" w:rsidR="00A16054" w:rsidRPr="007B00F3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7B00F3">
              <w:rPr>
                <w:rFonts w:ascii="Arial" w:hAnsi="Arial" w:cs="Arial"/>
                <w:sz w:val="24"/>
                <w:szCs w:val="24"/>
              </w:rPr>
              <w:t>01633 64</w:t>
            </w:r>
            <w:r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A16054" w:rsidRPr="007B00F3" w14:paraId="7277B08F" w14:textId="77777777" w:rsidTr="006F7AC3">
        <w:tc>
          <w:tcPr>
            <w:tcW w:w="4481" w:type="dxa"/>
          </w:tcPr>
          <w:p w14:paraId="1362A036" w14:textId="77777777" w:rsidR="00A16054" w:rsidRPr="00933DD9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57" w:type="dxa"/>
          </w:tcPr>
          <w:p w14:paraId="49A8F97B" w14:textId="77777777" w:rsidR="00A16054" w:rsidRPr="007B00F3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Rob.james</w:t>
            </w:r>
            <w:r w:rsidRPr="007B00F3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A16054" w:rsidRPr="007B00F3" w14:paraId="61774C15" w14:textId="77777777" w:rsidTr="006F7AC3">
        <w:tc>
          <w:tcPr>
            <w:tcW w:w="4481" w:type="dxa"/>
          </w:tcPr>
          <w:p w14:paraId="74BD45B9" w14:textId="77777777" w:rsidR="00A16054" w:rsidRPr="00933DD9" w:rsidRDefault="00A16054" w:rsidP="006F7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557" w:type="dxa"/>
          </w:tcPr>
          <w:p w14:paraId="1C28BA14" w14:textId="77777777" w:rsidR="00A16054" w:rsidRPr="007B00F3" w:rsidRDefault="00A16054" w:rsidP="006F7AC3">
            <w:pPr>
              <w:rPr>
                <w:rFonts w:ascii="Arial" w:hAnsi="Arial" w:cs="Arial"/>
                <w:sz w:val="24"/>
                <w:szCs w:val="24"/>
              </w:rPr>
            </w:pPr>
            <w:r w:rsidRPr="007B00F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38AEB206" w14:textId="77777777" w:rsidR="00A16054" w:rsidRDefault="00A16054" w:rsidP="00A16054">
      <w:pPr>
        <w:rPr>
          <w:rFonts w:ascii="Arial" w:hAnsi="Arial" w:cs="Arial"/>
        </w:rPr>
      </w:pPr>
    </w:p>
    <w:p w14:paraId="20F05557" w14:textId="77777777" w:rsidR="00A16054" w:rsidRPr="00CC2479" w:rsidRDefault="00A16054" w:rsidP="00A16054">
      <w:pPr>
        <w:rPr>
          <w:rFonts w:ascii="Arial" w:hAnsi="Arial" w:cs="Arial"/>
        </w:rPr>
      </w:pPr>
    </w:p>
    <w:p w14:paraId="3B5DE2CF" w14:textId="77777777" w:rsidR="006C4F6C" w:rsidRDefault="006C4F6C"/>
    <w:sectPr w:rsidR="006C4F6C" w:rsidSect="00A16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2266" w14:textId="77777777" w:rsidR="00F43B0D" w:rsidRDefault="00F43B0D">
      <w:pPr>
        <w:spacing w:after="0" w:line="240" w:lineRule="auto"/>
      </w:pPr>
      <w:r>
        <w:separator/>
      </w:r>
    </w:p>
  </w:endnote>
  <w:endnote w:type="continuationSeparator" w:id="0">
    <w:p w14:paraId="4D3A1D38" w14:textId="77777777" w:rsidR="00F43B0D" w:rsidRDefault="00F4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A575" w14:textId="77777777" w:rsidR="006D4184" w:rsidRDefault="006D4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FC0B" w14:textId="77777777" w:rsidR="006D4184" w:rsidRDefault="006D4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8982" w14:textId="77777777" w:rsidR="006D4184" w:rsidRDefault="006D4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821D" w14:textId="77777777" w:rsidR="00F43B0D" w:rsidRDefault="00F43B0D">
      <w:pPr>
        <w:spacing w:after="0" w:line="240" w:lineRule="auto"/>
      </w:pPr>
      <w:r>
        <w:separator/>
      </w:r>
    </w:p>
  </w:footnote>
  <w:footnote w:type="continuationSeparator" w:id="0">
    <w:p w14:paraId="720093B9" w14:textId="77777777" w:rsidR="00F43B0D" w:rsidRDefault="00F4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B72F" w14:textId="77777777" w:rsidR="006D4184" w:rsidRDefault="006D4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BDBC" w14:textId="77777777" w:rsidR="006D4184" w:rsidRDefault="006D4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9DE8" w14:textId="77777777" w:rsidR="006D4184" w:rsidRDefault="006D4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54"/>
    <w:rsid w:val="00026301"/>
    <w:rsid w:val="00057C41"/>
    <w:rsid w:val="000B0656"/>
    <w:rsid w:val="000C5CA2"/>
    <w:rsid w:val="000F09B3"/>
    <w:rsid w:val="000F3851"/>
    <w:rsid w:val="00194D67"/>
    <w:rsid w:val="001B76CC"/>
    <w:rsid w:val="002541D4"/>
    <w:rsid w:val="002611D0"/>
    <w:rsid w:val="003328F2"/>
    <w:rsid w:val="00340C2E"/>
    <w:rsid w:val="00443CA3"/>
    <w:rsid w:val="005B434C"/>
    <w:rsid w:val="005C2A66"/>
    <w:rsid w:val="0062417C"/>
    <w:rsid w:val="006A47E9"/>
    <w:rsid w:val="006C4F6C"/>
    <w:rsid w:val="006D4184"/>
    <w:rsid w:val="006F64A2"/>
    <w:rsid w:val="008B7203"/>
    <w:rsid w:val="009F558C"/>
    <w:rsid w:val="00A16054"/>
    <w:rsid w:val="00A179FE"/>
    <w:rsid w:val="00A617CD"/>
    <w:rsid w:val="00A879B0"/>
    <w:rsid w:val="00B603C7"/>
    <w:rsid w:val="00C375A2"/>
    <w:rsid w:val="00CB1B73"/>
    <w:rsid w:val="00E81CD9"/>
    <w:rsid w:val="00EE3F24"/>
    <w:rsid w:val="00F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3DD4"/>
  <w15:chartTrackingRefBased/>
  <w15:docId w15:val="{7E039246-0D22-40C9-B797-CBBF18A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0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0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0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0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0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05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05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05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05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0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6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0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6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0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6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0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6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54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6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54"/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4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18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18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2633</Characters>
  <Application>Microsoft Office Word</Application>
  <DocSecurity>4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Rob gwp</dc:creator>
  <cp:keywords/>
  <dc:description/>
  <cp:lastModifiedBy>Warren, Nicola</cp:lastModifiedBy>
  <cp:revision>2</cp:revision>
  <dcterms:created xsi:type="dcterms:W3CDTF">2025-10-17T09:34:00Z</dcterms:created>
  <dcterms:modified xsi:type="dcterms:W3CDTF">2025-10-17T09:34:00Z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2025-08-06T13:17:21Z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3850ebb4-6d7d-4513-ab41-c5cc88b87462</vt:lpwstr>
  </property>
  <property fmtid="{D5CDD505-2E9C-101B-9397-08002B2CF9AE}" pid="8" name="MSIP_Label_f2acd28b-79a3-4a0f-b0ff-4b75658b1549_ContentBits">
    <vt:lpwstr>0</vt:lpwstr>
  </property>
  <property fmtid="{D5CDD505-2E9C-101B-9397-08002B2CF9AE}" pid="9" name="MSIP_Label_f2acd28b-79a3-4a0f-b0ff-4b75658b1549_Tag">
    <vt:lpwstr>10, 3, 0, 1</vt:lpwstr>
  </property>
</Properties>
</file>