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64FC" w14:textId="77777777" w:rsidR="00D26302" w:rsidRDefault="00EF0FF3" w:rsidP="00D26302">
      <w:pPr>
        <w:jc w:val="center"/>
        <w:rPr>
          <w:rFonts w:ascii="Arial" w:hAnsi="Arial" w:cs="Arial"/>
          <w:b/>
          <w:sz w:val="24"/>
          <w:szCs w:val="24"/>
          <w:u w:val="single"/>
        </w:rPr>
      </w:pPr>
      <w:r>
        <w:rPr>
          <w:rFonts w:ascii="Arial" w:hAnsi="Arial" w:cs="Arial"/>
          <w:b/>
          <w:sz w:val="24"/>
          <w:szCs w:val="24"/>
          <w:u w:val="single"/>
        </w:rPr>
        <w:t>OFFICE OF POLICE AND CRIME COMMISSIONER</w:t>
      </w:r>
    </w:p>
    <w:p w14:paraId="1FE9D584" w14:textId="069BC2CB" w:rsidR="00D26302" w:rsidRDefault="00D26302">
      <w:pPr>
        <w:rPr>
          <w:rFonts w:ascii="Arial" w:hAnsi="Arial" w:cs="Arial"/>
          <w:b/>
          <w:sz w:val="24"/>
          <w:szCs w:val="24"/>
        </w:rPr>
      </w:pPr>
      <w:r w:rsidRPr="00D26302">
        <w:rPr>
          <w:rFonts w:ascii="Arial" w:hAnsi="Arial" w:cs="Arial"/>
          <w:b/>
          <w:sz w:val="24"/>
          <w:szCs w:val="24"/>
        </w:rPr>
        <w:t>TITLE:</w:t>
      </w:r>
      <w:r w:rsidR="00BC5418">
        <w:rPr>
          <w:rFonts w:ascii="Arial" w:hAnsi="Arial" w:cs="Arial"/>
          <w:b/>
          <w:sz w:val="24"/>
          <w:szCs w:val="24"/>
        </w:rPr>
        <w:t xml:space="preserve"> </w:t>
      </w:r>
      <w:r w:rsidR="0048517A">
        <w:rPr>
          <w:rFonts w:ascii="Arial" w:hAnsi="Arial" w:cs="Arial"/>
          <w:b/>
          <w:sz w:val="24"/>
          <w:szCs w:val="24"/>
        </w:rPr>
        <w:tab/>
      </w:r>
      <w:r w:rsidR="00107A42">
        <w:rPr>
          <w:rFonts w:ascii="Arial" w:hAnsi="Arial" w:cs="Arial"/>
          <w:b/>
          <w:bCs/>
          <w:sz w:val="24"/>
          <w:szCs w:val="24"/>
        </w:rPr>
        <w:t xml:space="preserve">Information Management </w:t>
      </w:r>
      <w:r w:rsidR="0048517A" w:rsidRPr="0048517A">
        <w:rPr>
          <w:rFonts w:ascii="Arial" w:hAnsi="Arial" w:cs="Arial"/>
          <w:b/>
          <w:bCs/>
          <w:sz w:val="24"/>
          <w:szCs w:val="24"/>
        </w:rPr>
        <w:t>Annual Report 202</w:t>
      </w:r>
      <w:r w:rsidR="00F0225D">
        <w:rPr>
          <w:rFonts w:ascii="Arial" w:hAnsi="Arial" w:cs="Arial"/>
          <w:b/>
          <w:bCs/>
          <w:sz w:val="24"/>
          <w:szCs w:val="24"/>
        </w:rPr>
        <w:t>4</w:t>
      </w:r>
      <w:r w:rsidR="0048517A" w:rsidRPr="0048517A">
        <w:rPr>
          <w:rFonts w:ascii="Arial" w:hAnsi="Arial" w:cs="Arial"/>
          <w:b/>
          <w:bCs/>
          <w:sz w:val="24"/>
          <w:szCs w:val="24"/>
        </w:rPr>
        <w:t>/</w:t>
      </w:r>
      <w:r w:rsidR="009C6621">
        <w:rPr>
          <w:rFonts w:ascii="Arial" w:hAnsi="Arial" w:cs="Arial"/>
          <w:b/>
          <w:bCs/>
          <w:sz w:val="24"/>
          <w:szCs w:val="24"/>
        </w:rPr>
        <w:t>20</w:t>
      </w:r>
      <w:r w:rsidR="0048517A" w:rsidRPr="0048517A">
        <w:rPr>
          <w:rFonts w:ascii="Arial" w:hAnsi="Arial" w:cs="Arial"/>
          <w:b/>
          <w:bCs/>
          <w:sz w:val="24"/>
          <w:szCs w:val="24"/>
        </w:rPr>
        <w:t>2</w:t>
      </w:r>
      <w:r w:rsidR="00F0225D">
        <w:rPr>
          <w:rFonts w:ascii="Arial" w:hAnsi="Arial" w:cs="Arial"/>
          <w:b/>
          <w:bCs/>
          <w:sz w:val="24"/>
          <w:szCs w:val="24"/>
        </w:rPr>
        <w:t>5</w:t>
      </w:r>
    </w:p>
    <w:p w14:paraId="68B0E4BE" w14:textId="0D530A04" w:rsidR="00BC5418" w:rsidRDefault="00BC5418">
      <w:pPr>
        <w:rPr>
          <w:rFonts w:ascii="Arial" w:hAnsi="Arial" w:cs="Arial"/>
          <w:b/>
          <w:sz w:val="24"/>
          <w:szCs w:val="24"/>
        </w:rPr>
      </w:pPr>
      <w:r>
        <w:rPr>
          <w:rFonts w:ascii="Arial" w:hAnsi="Arial" w:cs="Arial"/>
          <w:b/>
          <w:sz w:val="24"/>
          <w:szCs w:val="24"/>
        </w:rPr>
        <w:t>DATE:</w:t>
      </w:r>
      <w:r w:rsidR="0048517A">
        <w:rPr>
          <w:rFonts w:ascii="Arial" w:hAnsi="Arial" w:cs="Arial"/>
          <w:b/>
          <w:sz w:val="24"/>
          <w:szCs w:val="24"/>
        </w:rPr>
        <w:tab/>
      </w:r>
      <w:r w:rsidR="00B416FC">
        <w:rPr>
          <w:rFonts w:ascii="Arial" w:hAnsi="Arial" w:cs="Arial"/>
          <w:b/>
          <w:sz w:val="24"/>
          <w:szCs w:val="24"/>
        </w:rPr>
        <w:t>October</w:t>
      </w:r>
      <w:r w:rsidR="00F0225D">
        <w:rPr>
          <w:rFonts w:ascii="Arial" w:hAnsi="Arial" w:cs="Arial"/>
          <w:b/>
          <w:sz w:val="24"/>
          <w:szCs w:val="24"/>
        </w:rPr>
        <w:t xml:space="preserve"> 2025</w:t>
      </w:r>
    </w:p>
    <w:p w14:paraId="65444B47" w14:textId="77777777" w:rsidR="00BC5418" w:rsidRDefault="00BC5418" w:rsidP="00BC5418">
      <w:pPr>
        <w:spacing w:after="0" w:line="240" w:lineRule="auto"/>
        <w:jc w:val="both"/>
        <w:rPr>
          <w:rFonts w:ascii="Arial" w:hAnsi="Arial" w:cs="Arial"/>
          <w:i/>
          <w:szCs w:val="24"/>
        </w:rPr>
      </w:pPr>
      <w:r>
        <w:rPr>
          <w:rFonts w:ascii="Arial" w:hAnsi="Arial" w:cs="Arial"/>
          <w:b/>
          <w:sz w:val="24"/>
          <w:szCs w:val="24"/>
        </w:rPr>
        <w:t xml:space="preserve">TIMING: </w:t>
      </w:r>
      <w:r w:rsidR="00936558">
        <w:rPr>
          <w:rFonts w:ascii="Arial" w:hAnsi="Arial" w:cs="Arial"/>
          <w:szCs w:val="24"/>
        </w:rPr>
        <w:tab/>
      </w:r>
      <w:r w:rsidR="0048517A" w:rsidRPr="0048517A">
        <w:rPr>
          <w:rFonts w:ascii="Arial" w:hAnsi="Arial" w:cs="Arial"/>
          <w:b/>
          <w:bCs/>
          <w:sz w:val="24"/>
          <w:szCs w:val="28"/>
        </w:rPr>
        <w:t xml:space="preserve">Annual </w:t>
      </w:r>
    </w:p>
    <w:p w14:paraId="0808BF1C" w14:textId="77777777" w:rsidR="00BC5418" w:rsidRDefault="00BC5418" w:rsidP="00BC5418">
      <w:pPr>
        <w:spacing w:after="0" w:line="240" w:lineRule="auto"/>
        <w:jc w:val="both"/>
        <w:rPr>
          <w:rFonts w:ascii="Arial" w:hAnsi="Arial" w:cs="Arial"/>
          <w:i/>
          <w:szCs w:val="24"/>
        </w:rPr>
      </w:pPr>
    </w:p>
    <w:p w14:paraId="52984041" w14:textId="79DCB58E" w:rsidR="00BC5418" w:rsidRPr="00936558" w:rsidRDefault="00BC5418" w:rsidP="00BC5418">
      <w:pPr>
        <w:spacing w:after="0" w:line="240" w:lineRule="auto"/>
        <w:jc w:val="both"/>
        <w:rPr>
          <w:rFonts w:cs="Arial"/>
          <w:sz w:val="24"/>
          <w:szCs w:val="24"/>
        </w:rPr>
      </w:pPr>
      <w:r w:rsidRPr="00BC5418">
        <w:rPr>
          <w:rFonts w:ascii="Arial" w:hAnsi="Arial" w:cs="Arial"/>
          <w:b/>
          <w:sz w:val="24"/>
          <w:szCs w:val="24"/>
        </w:rPr>
        <w:t>PURPOSE:</w:t>
      </w:r>
      <w:r w:rsidR="00936558">
        <w:rPr>
          <w:rFonts w:ascii="Arial" w:hAnsi="Arial" w:cs="Arial"/>
          <w:sz w:val="24"/>
          <w:szCs w:val="24"/>
        </w:rPr>
        <w:tab/>
      </w:r>
      <w:r w:rsidR="001201D9" w:rsidRPr="0048517A">
        <w:rPr>
          <w:rFonts w:ascii="Arial" w:hAnsi="Arial" w:cs="Arial"/>
          <w:b/>
          <w:bCs/>
          <w:iCs/>
          <w:sz w:val="24"/>
          <w:szCs w:val="24"/>
        </w:rPr>
        <w:t xml:space="preserve">For </w:t>
      </w:r>
      <w:r w:rsidR="00B416FC">
        <w:rPr>
          <w:rFonts w:ascii="Arial" w:hAnsi="Arial" w:cs="Arial"/>
          <w:b/>
          <w:bCs/>
          <w:iCs/>
          <w:sz w:val="24"/>
          <w:szCs w:val="24"/>
        </w:rPr>
        <w:t>consideration</w:t>
      </w:r>
      <w:r w:rsidR="00FF750B">
        <w:rPr>
          <w:rFonts w:ascii="Arial" w:hAnsi="Arial" w:cs="Arial"/>
          <w:b/>
          <w:bCs/>
          <w:iCs/>
          <w:sz w:val="24"/>
          <w:szCs w:val="24"/>
        </w:rPr>
        <w:t xml:space="preserve"> </w:t>
      </w:r>
    </w:p>
    <w:p w14:paraId="35E5E876" w14:textId="77777777" w:rsidR="00BC5418" w:rsidRDefault="00BC5418" w:rsidP="00BC5418">
      <w:pPr>
        <w:spacing w:after="0" w:line="240" w:lineRule="auto"/>
        <w:jc w:val="both"/>
        <w:rPr>
          <w:rFonts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92"/>
      </w:tblGrid>
      <w:tr w:rsidR="00D26302" w:rsidRPr="00055BFA" w14:paraId="24E2EF29" w14:textId="77777777" w:rsidTr="00055BFA">
        <w:tc>
          <w:tcPr>
            <w:tcW w:w="675" w:type="dxa"/>
          </w:tcPr>
          <w:p w14:paraId="5013D174" w14:textId="77777777" w:rsidR="00D26302" w:rsidRPr="00055BFA" w:rsidRDefault="005C173F" w:rsidP="00055BFA">
            <w:pPr>
              <w:spacing w:after="0"/>
              <w:rPr>
                <w:rFonts w:ascii="Arial" w:hAnsi="Arial" w:cs="Arial"/>
                <w:b/>
                <w:sz w:val="24"/>
                <w:szCs w:val="24"/>
              </w:rPr>
            </w:pPr>
            <w:r>
              <w:rPr>
                <w:rFonts w:ascii="Arial" w:hAnsi="Arial" w:cs="Arial"/>
                <w:b/>
                <w:sz w:val="24"/>
                <w:szCs w:val="24"/>
              </w:rPr>
              <w:t>1</w:t>
            </w:r>
            <w:r w:rsidR="00D26302" w:rsidRPr="00055BFA">
              <w:rPr>
                <w:rFonts w:ascii="Arial" w:hAnsi="Arial" w:cs="Arial"/>
                <w:b/>
                <w:sz w:val="24"/>
                <w:szCs w:val="24"/>
              </w:rPr>
              <w:t>.</w:t>
            </w:r>
          </w:p>
        </w:tc>
        <w:tc>
          <w:tcPr>
            <w:tcW w:w="8611" w:type="dxa"/>
          </w:tcPr>
          <w:p w14:paraId="23574022" w14:textId="77777777" w:rsidR="00D26302" w:rsidRDefault="00D26302" w:rsidP="009E19DB">
            <w:pPr>
              <w:spacing w:after="0"/>
              <w:jc w:val="both"/>
              <w:rPr>
                <w:rFonts w:ascii="Arial" w:hAnsi="Arial" w:cs="Arial"/>
                <w:b/>
                <w:sz w:val="24"/>
                <w:szCs w:val="24"/>
                <w:u w:val="single"/>
              </w:rPr>
            </w:pPr>
            <w:r w:rsidRPr="00055BFA">
              <w:rPr>
                <w:rFonts w:ascii="Arial" w:hAnsi="Arial" w:cs="Arial"/>
                <w:b/>
                <w:sz w:val="24"/>
                <w:szCs w:val="24"/>
                <w:u w:val="single"/>
              </w:rPr>
              <w:t>RECOMMENDATION</w:t>
            </w:r>
          </w:p>
          <w:p w14:paraId="65442EE4" w14:textId="4B88DB59" w:rsidR="00AC7AD2" w:rsidRPr="00AC7AD2" w:rsidRDefault="00AC7AD2" w:rsidP="009E19DB">
            <w:pPr>
              <w:spacing w:after="0"/>
              <w:jc w:val="both"/>
              <w:rPr>
                <w:rFonts w:ascii="Arial" w:hAnsi="Arial" w:cs="Arial"/>
                <w:bCs/>
                <w:sz w:val="24"/>
                <w:szCs w:val="24"/>
              </w:rPr>
            </w:pPr>
            <w:r>
              <w:rPr>
                <w:rFonts w:ascii="Arial" w:hAnsi="Arial" w:cs="Arial"/>
                <w:bCs/>
                <w:sz w:val="24"/>
                <w:szCs w:val="24"/>
              </w:rPr>
              <w:t xml:space="preserve">For the </w:t>
            </w:r>
            <w:r w:rsidR="00B416FC">
              <w:rPr>
                <w:rFonts w:ascii="Arial" w:hAnsi="Arial" w:cs="Arial"/>
                <w:bCs/>
                <w:sz w:val="24"/>
                <w:szCs w:val="24"/>
              </w:rPr>
              <w:t>Joint Audit Committee to consider</w:t>
            </w:r>
            <w:r w:rsidR="003B0D93">
              <w:rPr>
                <w:rFonts w:ascii="Arial" w:hAnsi="Arial" w:cs="Arial"/>
                <w:bCs/>
                <w:sz w:val="24"/>
                <w:szCs w:val="24"/>
              </w:rPr>
              <w:t xml:space="preserve"> the</w:t>
            </w:r>
            <w:r w:rsidR="00CD093B">
              <w:rPr>
                <w:rFonts w:ascii="Arial" w:hAnsi="Arial" w:cs="Arial"/>
                <w:bCs/>
                <w:sz w:val="24"/>
                <w:szCs w:val="24"/>
              </w:rPr>
              <w:t xml:space="preserve"> </w:t>
            </w:r>
            <w:r w:rsidR="00B416FC">
              <w:rPr>
                <w:rFonts w:ascii="Arial" w:hAnsi="Arial" w:cs="Arial"/>
                <w:bCs/>
                <w:sz w:val="24"/>
                <w:szCs w:val="24"/>
              </w:rPr>
              <w:t>Information Management</w:t>
            </w:r>
            <w:r w:rsidR="003B0D93">
              <w:rPr>
                <w:rFonts w:ascii="Arial" w:hAnsi="Arial" w:cs="Arial"/>
                <w:bCs/>
                <w:sz w:val="24"/>
                <w:szCs w:val="24"/>
              </w:rPr>
              <w:t xml:space="preserve"> </w:t>
            </w:r>
            <w:r w:rsidR="00F834BD">
              <w:rPr>
                <w:rFonts w:ascii="Arial" w:hAnsi="Arial" w:cs="Arial"/>
                <w:bCs/>
                <w:sz w:val="24"/>
                <w:szCs w:val="24"/>
              </w:rPr>
              <w:t>A</w:t>
            </w:r>
            <w:r w:rsidR="003B0D93">
              <w:rPr>
                <w:rFonts w:ascii="Arial" w:hAnsi="Arial" w:cs="Arial"/>
                <w:bCs/>
                <w:sz w:val="24"/>
                <w:szCs w:val="24"/>
              </w:rPr>
              <w:t xml:space="preserve">nnual </w:t>
            </w:r>
            <w:r w:rsidR="00F834BD">
              <w:rPr>
                <w:rFonts w:ascii="Arial" w:hAnsi="Arial" w:cs="Arial"/>
                <w:bCs/>
                <w:sz w:val="24"/>
                <w:szCs w:val="24"/>
              </w:rPr>
              <w:t>R</w:t>
            </w:r>
            <w:r w:rsidR="003B0D93">
              <w:rPr>
                <w:rFonts w:ascii="Arial" w:hAnsi="Arial" w:cs="Arial"/>
                <w:bCs/>
                <w:sz w:val="24"/>
                <w:szCs w:val="24"/>
              </w:rPr>
              <w:t>eport</w:t>
            </w:r>
            <w:r>
              <w:rPr>
                <w:rFonts w:ascii="Arial" w:hAnsi="Arial" w:cs="Arial"/>
                <w:bCs/>
                <w:sz w:val="24"/>
                <w:szCs w:val="24"/>
              </w:rPr>
              <w:t xml:space="preserve"> </w:t>
            </w:r>
            <w:r w:rsidR="003B0D93">
              <w:rPr>
                <w:rFonts w:ascii="Arial" w:hAnsi="Arial" w:cs="Arial"/>
                <w:bCs/>
                <w:sz w:val="24"/>
                <w:szCs w:val="24"/>
              </w:rPr>
              <w:t xml:space="preserve">for </w:t>
            </w:r>
            <w:r w:rsidR="00B416FC">
              <w:rPr>
                <w:rFonts w:ascii="Arial" w:hAnsi="Arial" w:cs="Arial"/>
                <w:bCs/>
                <w:sz w:val="24"/>
                <w:szCs w:val="24"/>
              </w:rPr>
              <w:t>the Office of the Police and Crime Commissioner.</w:t>
            </w:r>
          </w:p>
          <w:p w14:paraId="03C7D92B" w14:textId="77777777" w:rsidR="0048517A" w:rsidRPr="001201D9" w:rsidRDefault="0048517A" w:rsidP="00AC7AD2">
            <w:pPr>
              <w:spacing w:after="0"/>
              <w:ind w:left="720"/>
              <w:jc w:val="both"/>
              <w:rPr>
                <w:rFonts w:ascii="Arial" w:hAnsi="Arial" w:cs="Arial"/>
                <w:sz w:val="24"/>
                <w:szCs w:val="24"/>
              </w:rPr>
            </w:pPr>
          </w:p>
        </w:tc>
      </w:tr>
      <w:tr w:rsidR="00D26302" w:rsidRPr="00055BFA" w14:paraId="2A4BC9AF" w14:textId="77777777" w:rsidTr="00055BFA">
        <w:tc>
          <w:tcPr>
            <w:tcW w:w="675" w:type="dxa"/>
          </w:tcPr>
          <w:p w14:paraId="30FDB5A3" w14:textId="77777777" w:rsidR="00D26302" w:rsidRPr="00055BFA" w:rsidRDefault="005C173F" w:rsidP="00055BFA">
            <w:pPr>
              <w:spacing w:after="0"/>
              <w:rPr>
                <w:rFonts w:ascii="Arial" w:hAnsi="Arial" w:cs="Arial"/>
                <w:b/>
                <w:sz w:val="24"/>
                <w:szCs w:val="24"/>
              </w:rPr>
            </w:pPr>
            <w:r>
              <w:rPr>
                <w:rFonts w:ascii="Arial" w:hAnsi="Arial" w:cs="Arial"/>
                <w:b/>
                <w:sz w:val="24"/>
                <w:szCs w:val="24"/>
              </w:rPr>
              <w:t>2</w:t>
            </w:r>
            <w:r w:rsidR="00D26302" w:rsidRPr="00055BFA">
              <w:rPr>
                <w:rFonts w:ascii="Arial" w:hAnsi="Arial" w:cs="Arial"/>
                <w:b/>
                <w:sz w:val="24"/>
                <w:szCs w:val="24"/>
              </w:rPr>
              <w:t>.</w:t>
            </w:r>
          </w:p>
        </w:tc>
        <w:tc>
          <w:tcPr>
            <w:tcW w:w="8611" w:type="dxa"/>
          </w:tcPr>
          <w:p w14:paraId="102DFB78" w14:textId="0F72C0A9" w:rsidR="00D26302" w:rsidRDefault="00D26302" w:rsidP="009E19DB">
            <w:pPr>
              <w:spacing w:after="0"/>
              <w:jc w:val="both"/>
              <w:rPr>
                <w:rFonts w:ascii="Arial" w:hAnsi="Arial" w:cs="Arial"/>
                <w:b/>
                <w:sz w:val="24"/>
                <w:szCs w:val="24"/>
                <w:u w:val="single"/>
              </w:rPr>
            </w:pPr>
            <w:r w:rsidRPr="00055BFA">
              <w:rPr>
                <w:rFonts w:ascii="Arial" w:hAnsi="Arial" w:cs="Arial"/>
                <w:b/>
                <w:sz w:val="24"/>
                <w:szCs w:val="24"/>
                <w:u w:val="single"/>
              </w:rPr>
              <w:t>INTRODUCTION &amp; BACKGROUN</w:t>
            </w:r>
            <w:r w:rsidR="009E19DB">
              <w:rPr>
                <w:rFonts w:ascii="Arial" w:hAnsi="Arial" w:cs="Arial"/>
                <w:b/>
                <w:sz w:val="24"/>
                <w:szCs w:val="24"/>
                <w:u w:val="single"/>
              </w:rPr>
              <w:t>D</w:t>
            </w:r>
          </w:p>
          <w:p w14:paraId="1053EE89" w14:textId="4C8D7D00" w:rsidR="0060704C" w:rsidRDefault="008D7F51" w:rsidP="0060704C">
            <w:pPr>
              <w:shd w:val="clear" w:color="auto" w:fill="FFFFFF"/>
              <w:spacing w:after="0"/>
              <w:jc w:val="both"/>
              <w:rPr>
                <w:rFonts w:ascii="Arial" w:hAnsi="Arial" w:cs="Arial"/>
                <w:bCs/>
                <w:sz w:val="24"/>
                <w:szCs w:val="24"/>
              </w:rPr>
            </w:pPr>
            <w:r>
              <w:rPr>
                <w:rFonts w:ascii="Arial" w:hAnsi="Arial" w:cs="Arial"/>
                <w:bCs/>
                <w:sz w:val="24"/>
                <w:szCs w:val="24"/>
              </w:rPr>
              <w:t>The Office of the Police and Crime Commissioner (OPCC) is a separate legal entity to Gwent Police and as such has its own responsibilities under the Data Protection Act (DPA) 2018 and the UK General Data Protection Regulation</w:t>
            </w:r>
            <w:r w:rsidR="00F33771">
              <w:rPr>
                <w:rFonts w:ascii="Arial" w:hAnsi="Arial" w:cs="Arial"/>
                <w:bCs/>
                <w:sz w:val="24"/>
                <w:szCs w:val="24"/>
              </w:rPr>
              <w:t xml:space="preserve"> (GDPR)</w:t>
            </w:r>
            <w:r>
              <w:rPr>
                <w:rFonts w:ascii="Arial" w:hAnsi="Arial" w:cs="Arial"/>
                <w:bCs/>
                <w:sz w:val="24"/>
                <w:szCs w:val="24"/>
              </w:rPr>
              <w:t xml:space="preserve"> and must appoint its own Data Protection Officer (DPO).</w:t>
            </w:r>
            <w:r w:rsidR="001B025F">
              <w:rPr>
                <w:rFonts w:ascii="Arial" w:hAnsi="Arial" w:cs="Arial"/>
                <w:bCs/>
                <w:sz w:val="24"/>
                <w:szCs w:val="24"/>
              </w:rPr>
              <w:t xml:space="preserve">  This report evidences the work undertaken to meet these statutory duties as well as </w:t>
            </w:r>
            <w:r w:rsidR="00CD093B">
              <w:rPr>
                <w:rFonts w:ascii="Arial" w:hAnsi="Arial" w:cs="Arial"/>
                <w:bCs/>
                <w:sz w:val="24"/>
                <w:szCs w:val="24"/>
              </w:rPr>
              <w:t>highlighting</w:t>
            </w:r>
            <w:r w:rsidR="001B025F">
              <w:rPr>
                <w:rFonts w:ascii="Arial" w:hAnsi="Arial" w:cs="Arial"/>
                <w:bCs/>
                <w:sz w:val="24"/>
                <w:szCs w:val="24"/>
              </w:rPr>
              <w:t xml:space="preserve"> any areas of </w:t>
            </w:r>
            <w:r w:rsidR="00CD093B">
              <w:rPr>
                <w:rFonts w:ascii="Arial" w:hAnsi="Arial" w:cs="Arial"/>
                <w:bCs/>
                <w:sz w:val="24"/>
                <w:szCs w:val="24"/>
              </w:rPr>
              <w:t xml:space="preserve">good work and/or </w:t>
            </w:r>
            <w:r w:rsidR="001B025F">
              <w:rPr>
                <w:rFonts w:ascii="Arial" w:hAnsi="Arial" w:cs="Arial"/>
                <w:bCs/>
                <w:sz w:val="24"/>
                <w:szCs w:val="24"/>
              </w:rPr>
              <w:t>concern.</w:t>
            </w:r>
          </w:p>
          <w:p w14:paraId="5A592E23" w14:textId="1422A656" w:rsidR="0060704C" w:rsidRPr="0060704C" w:rsidRDefault="0060704C" w:rsidP="0060704C">
            <w:pPr>
              <w:shd w:val="clear" w:color="auto" w:fill="FFFFFF"/>
              <w:spacing w:after="0"/>
              <w:jc w:val="both"/>
              <w:rPr>
                <w:rFonts w:ascii="Arial" w:hAnsi="Arial" w:cs="Arial"/>
                <w:bCs/>
                <w:sz w:val="24"/>
                <w:szCs w:val="24"/>
              </w:rPr>
            </w:pPr>
          </w:p>
        </w:tc>
      </w:tr>
      <w:tr w:rsidR="00D26302" w:rsidRPr="00055BFA" w14:paraId="65BAC07A" w14:textId="77777777" w:rsidTr="00055BFA">
        <w:tc>
          <w:tcPr>
            <w:tcW w:w="675" w:type="dxa"/>
          </w:tcPr>
          <w:p w14:paraId="388517AA" w14:textId="77777777" w:rsidR="00D26302" w:rsidRPr="00055BFA" w:rsidRDefault="005C173F" w:rsidP="00055BFA">
            <w:pPr>
              <w:spacing w:after="0"/>
              <w:rPr>
                <w:rFonts w:ascii="Arial" w:hAnsi="Arial" w:cs="Arial"/>
                <w:b/>
                <w:sz w:val="24"/>
                <w:szCs w:val="24"/>
              </w:rPr>
            </w:pPr>
            <w:r>
              <w:rPr>
                <w:rFonts w:ascii="Arial" w:hAnsi="Arial" w:cs="Arial"/>
                <w:b/>
                <w:sz w:val="24"/>
                <w:szCs w:val="24"/>
              </w:rPr>
              <w:t>3</w:t>
            </w:r>
            <w:r w:rsidR="00D26302" w:rsidRPr="00055BFA">
              <w:rPr>
                <w:rFonts w:ascii="Arial" w:hAnsi="Arial" w:cs="Arial"/>
                <w:b/>
                <w:sz w:val="24"/>
                <w:szCs w:val="24"/>
              </w:rPr>
              <w:t>.</w:t>
            </w:r>
          </w:p>
        </w:tc>
        <w:tc>
          <w:tcPr>
            <w:tcW w:w="8611" w:type="dxa"/>
          </w:tcPr>
          <w:p w14:paraId="64E9AD79" w14:textId="77777777" w:rsidR="00D26302" w:rsidRPr="00D002B8" w:rsidRDefault="00D26302" w:rsidP="009E19DB">
            <w:pPr>
              <w:spacing w:after="0"/>
              <w:jc w:val="both"/>
              <w:rPr>
                <w:rFonts w:ascii="Arial" w:hAnsi="Arial" w:cs="Arial"/>
                <w:b/>
                <w:sz w:val="24"/>
                <w:szCs w:val="24"/>
                <w:u w:val="single"/>
              </w:rPr>
            </w:pPr>
            <w:r w:rsidRPr="00D002B8">
              <w:rPr>
                <w:rFonts w:ascii="Arial" w:hAnsi="Arial" w:cs="Arial"/>
                <w:b/>
                <w:sz w:val="24"/>
                <w:szCs w:val="24"/>
                <w:u w:val="single"/>
              </w:rPr>
              <w:t>ISSUES FOR CONSIDERATION</w:t>
            </w:r>
          </w:p>
          <w:p w14:paraId="0815765A" w14:textId="0A4D08A5" w:rsidR="00BA28D8" w:rsidRPr="00D002B8" w:rsidRDefault="00BA28D8" w:rsidP="004371EB">
            <w:pPr>
              <w:spacing w:after="0"/>
              <w:jc w:val="both"/>
              <w:rPr>
                <w:rFonts w:ascii="Arial" w:hAnsi="Arial" w:cs="Arial"/>
                <w:bCs/>
                <w:sz w:val="24"/>
                <w:szCs w:val="24"/>
              </w:rPr>
            </w:pPr>
            <w:r w:rsidRPr="00D002B8">
              <w:rPr>
                <w:rFonts w:ascii="Arial" w:hAnsi="Arial" w:cs="Arial"/>
                <w:bCs/>
                <w:sz w:val="24"/>
                <w:szCs w:val="24"/>
              </w:rPr>
              <w:t xml:space="preserve">Work has been </w:t>
            </w:r>
            <w:r w:rsidR="004B394E" w:rsidRPr="00D002B8">
              <w:rPr>
                <w:rFonts w:ascii="Arial" w:hAnsi="Arial" w:cs="Arial"/>
                <w:bCs/>
                <w:sz w:val="24"/>
                <w:szCs w:val="24"/>
              </w:rPr>
              <w:t xml:space="preserve">undertaken </w:t>
            </w:r>
            <w:r w:rsidRPr="00D002B8">
              <w:rPr>
                <w:rFonts w:ascii="Arial" w:hAnsi="Arial" w:cs="Arial"/>
                <w:bCs/>
                <w:sz w:val="24"/>
                <w:szCs w:val="24"/>
              </w:rPr>
              <w:t xml:space="preserve">by the </w:t>
            </w:r>
            <w:r w:rsidR="001924C3">
              <w:rPr>
                <w:rFonts w:ascii="Arial" w:hAnsi="Arial" w:cs="Arial"/>
                <w:bCs/>
                <w:sz w:val="24"/>
                <w:szCs w:val="24"/>
              </w:rPr>
              <w:t xml:space="preserve">Head of Assurance and Compliance who is also the </w:t>
            </w:r>
            <w:r w:rsidRPr="00D002B8">
              <w:rPr>
                <w:rFonts w:ascii="Arial" w:hAnsi="Arial" w:cs="Arial"/>
                <w:bCs/>
                <w:sz w:val="24"/>
                <w:szCs w:val="24"/>
              </w:rPr>
              <w:t>DPO</w:t>
            </w:r>
            <w:r w:rsidR="00596496">
              <w:rPr>
                <w:rFonts w:ascii="Arial" w:hAnsi="Arial" w:cs="Arial"/>
                <w:bCs/>
                <w:sz w:val="24"/>
                <w:szCs w:val="24"/>
              </w:rPr>
              <w:t xml:space="preserve">, supported by the Governance Officer, </w:t>
            </w:r>
            <w:r w:rsidRPr="00D002B8">
              <w:rPr>
                <w:rFonts w:ascii="Arial" w:hAnsi="Arial" w:cs="Arial"/>
                <w:bCs/>
                <w:sz w:val="24"/>
                <w:szCs w:val="24"/>
              </w:rPr>
              <w:t xml:space="preserve">towards becoming </w:t>
            </w:r>
            <w:r w:rsidR="00F834BD" w:rsidRPr="00D002B8">
              <w:rPr>
                <w:rFonts w:ascii="Arial" w:hAnsi="Arial" w:cs="Arial"/>
                <w:bCs/>
                <w:sz w:val="24"/>
                <w:szCs w:val="24"/>
              </w:rPr>
              <w:t xml:space="preserve">fully </w:t>
            </w:r>
            <w:r w:rsidRPr="00D002B8">
              <w:rPr>
                <w:rFonts w:ascii="Arial" w:hAnsi="Arial" w:cs="Arial"/>
                <w:bCs/>
                <w:sz w:val="24"/>
                <w:szCs w:val="24"/>
              </w:rPr>
              <w:t>compliant</w:t>
            </w:r>
            <w:r w:rsidR="00F834BD" w:rsidRPr="00D002B8">
              <w:rPr>
                <w:rFonts w:ascii="Arial" w:hAnsi="Arial" w:cs="Arial"/>
                <w:bCs/>
                <w:sz w:val="24"/>
                <w:szCs w:val="24"/>
              </w:rPr>
              <w:t xml:space="preserve"> with the legislation </w:t>
            </w:r>
            <w:r w:rsidRPr="00D002B8">
              <w:rPr>
                <w:rFonts w:ascii="Arial" w:hAnsi="Arial" w:cs="Arial"/>
                <w:bCs/>
                <w:sz w:val="24"/>
                <w:szCs w:val="24"/>
              </w:rPr>
              <w:t xml:space="preserve">for </w:t>
            </w:r>
            <w:proofErr w:type="gramStart"/>
            <w:r w:rsidRPr="00D002B8">
              <w:rPr>
                <w:rFonts w:ascii="Arial" w:hAnsi="Arial" w:cs="Arial"/>
                <w:bCs/>
                <w:sz w:val="24"/>
                <w:szCs w:val="24"/>
              </w:rPr>
              <w:t>a number of</w:t>
            </w:r>
            <w:proofErr w:type="gramEnd"/>
            <w:r w:rsidRPr="00D002B8">
              <w:rPr>
                <w:rFonts w:ascii="Arial" w:hAnsi="Arial" w:cs="Arial"/>
                <w:bCs/>
                <w:sz w:val="24"/>
                <w:szCs w:val="24"/>
              </w:rPr>
              <w:t xml:space="preserve"> years.</w:t>
            </w:r>
            <w:r w:rsidR="00CD093B" w:rsidRPr="00D002B8">
              <w:rPr>
                <w:rFonts w:ascii="Arial" w:hAnsi="Arial" w:cs="Arial"/>
                <w:bCs/>
                <w:sz w:val="24"/>
                <w:szCs w:val="24"/>
              </w:rPr>
              <w:t xml:space="preserve">  </w:t>
            </w:r>
            <w:r w:rsidRPr="00D002B8">
              <w:rPr>
                <w:rFonts w:ascii="Arial" w:hAnsi="Arial" w:cs="Arial"/>
                <w:bCs/>
                <w:sz w:val="24"/>
                <w:szCs w:val="24"/>
              </w:rPr>
              <w:t>Compliance with data protection legislation is also part of the OPCC business plan.</w:t>
            </w:r>
          </w:p>
          <w:p w14:paraId="050BE663" w14:textId="34920FA6" w:rsidR="00BA28D8" w:rsidRPr="00F0225D" w:rsidRDefault="00BA28D8" w:rsidP="004371EB">
            <w:pPr>
              <w:spacing w:after="0"/>
              <w:jc w:val="both"/>
              <w:rPr>
                <w:rFonts w:ascii="Arial" w:hAnsi="Arial" w:cs="Arial"/>
                <w:bCs/>
                <w:sz w:val="24"/>
                <w:szCs w:val="24"/>
                <w:highlight w:val="yellow"/>
              </w:rPr>
            </w:pPr>
          </w:p>
          <w:p w14:paraId="626F292C" w14:textId="60F552EE" w:rsidR="00BA28D8" w:rsidRPr="00D002B8" w:rsidRDefault="00BA28D8" w:rsidP="004371EB">
            <w:pPr>
              <w:spacing w:after="0"/>
              <w:jc w:val="both"/>
              <w:rPr>
                <w:rFonts w:ascii="Arial" w:hAnsi="Arial" w:cs="Arial"/>
                <w:b/>
                <w:sz w:val="24"/>
                <w:szCs w:val="24"/>
              </w:rPr>
            </w:pPr>
            <w:r w:rsidRPr="00D002B8">
              <w:rPr>
                <w:rFonts w:ascii="Arial" w:hAnsi="Arial" w:cs="Arial"/>
                <w:b/>
                <w:sz w:val="24"/>
                <w:szCs w:val="24"/>
              </w:rPr>
              <w:t xml:space="preserve">Work Undertaken in </w:t>
            </w:r>
            <w:r w:rsidR="004F0723" w:rsidRPr="00D002B8">
              <w:rPr>
                <w:rFonts w:ascii="Arial" w:hAnsi="Arial" w:cs="Arial"/>
                <w:b/>
                <w:sz w:val="24"/>
                <w:szCs w:val="24"/>
              </w:rPr>
              <w:t>202</w:t>
            </w:r>
            <w:r w:rsidR="00F0225D" w:rsidRPr="00D002B8">
              <w:rPr>
                <w:rFonts w:ascii="Arial" w:hAnsi="Arial" w:cs="Arial"/>
                <w:b/>
                <w:sz w:val="24"/>
                <w:szCs w:val="24"/>
              </w:rPr>
              <w:t>4</w:t>
            </w:r>
            <w:r w:rsidR="004F0723" w:rsidRPr="00D002B8">
              <w:rPr>
                <w:rFonts w:ascii="Arial" w:hAnsi="Arial" w:cs="Arial"/>
                <w:b/>
                <w:sz w:val="24"/>
                <w:szCs w:val="24"/>
              </w:rPr>
              <w:t>/2</w:t>
            </w:r>
            <w:r w:rsidR="00F0225D" w:rsidRPr="00D002B8">
              <w:rPr>
                <w:rFonts w:ascii="Arial" w:hAnsi="Arial" w:cs="Arial"/>
                <w:b/>
                <w:sz w:val="24"/>
                <w:szCs w:val="24"/>
              </w:rPr>
              <w:t>5</w:t>
            </w:r>
          </w:p>
          <w:p w14:paraId="416655B3" w14:textId="5A71B829" w:rsidR="0020118A" w:rsidRPr="00D002B8" w:rsidRDefault="0020118A" w:rsidP="004371EB">
            <w:pPr>
              <w:spacing w:after="0"/>
              <w:jc w:val="both"/>
              <w:rPr>
                <w:rFonts w:ascii="Arial" w:hAnsi="Arial" w:cs="Arial"/>
                <w:b/>
                <w:sz w:val="24"/>
                <w:szCs w:val="24"/>
              </w:rPr>
            </w:pPr>
            <w:r w:rsidRPr="00D002B8">
              <w:rPr>
                <w:rFonts w:ascii="Arial" w:hAnsi="Arial" w:cs="Arial"/>
                <w:b/>
                <w:sz w:val="24"/>
                <w:szCs w:val="24"/>
              </w:rPr>
              <w:t>Subject Access Requests</w:t>
            </w:r>
          </w:p>
          <w:p w14:paraId="07FE140A" w14:textId="3C2092A4" w:rsidR="00F20F29" w:rsidRDefault="00F20F29" w:rsidP="004371EB">
            <w:pPr>
              <w:spacing w:after="0"/>
              <w:jc w:val="both"/>
              <w:rPr>
                <w:rFonts w:ascii="Arial" w:hAnsi="Arial" w:cs="Arial"/>
                <w:bCs/>
                <w:sz w:val="24"/>
                <w:szCs w:val="24"/>
              </w:rPr>
            </w:pPr>
            <w:r w:rsidRPr="00596496">
              <w:rPr>
                <w:rFonts w:ascii="Arial" w:hAnsi="Arial" w:cs="Arial"/>
                <w:bCs/>
                <w:sz w:val="24"/>
                <w:szCs w:val="24"/>
              </w:rPr>
              <w:t xml:space="preserve">A Subject Access Request (SAR) is a request made by or on behalf of an individual for the </w:t>
            </w:r>
            <w:r w:rsidR="00D85019" w:rsidRPr="00596496">
              <w:rPr>
                <w:rFonts w:ascii="Arial" w:hAnsi="Arial" w:cs="Arial"/>
                <w:bCs/>
                <w:sz w:val="24"/>
                <w:szCs w:val="24"/>
              </w:rPr>
              <w:t xml:space="preserve">personal </w:t>
            </w:r>
            <w:r w:rsidRPr="00596496">
              <w:rPr>
                <w:rFonts w:ascii="Arial" w:hAnsi="Arial" w:cs="Arial"/>
                <w:bCs/>
                <w:sz w:val="24"/>
                <w:szCs w:val="24"/>
              </w:rPr>
              <w:t>information that an organisation holds on them.</w:t>
            </w:r>
          </w:p>
          <w:p w14:paraId="6E073EA1" w14:textId="77777777" w:rsidR="00596496" w:rsidRPr="0061291F" w:rsidRDefault="00596496" w:rsidP="004371EB">
            <w:pPr>
              <w:spacing w:after="0"/>
              <w:jc w:val="both"/>
              <w:rPr>
                <w:rFonts w:ascii="Arial" w:hAnsi="Arial" w:cs="Arial"/>
                <w:bCs/>
                <w:sz w:val="28"/>
                <w:szCs w:val="28"/>
              </w:rPr>
            </w:pPr>
          </w:p>
          <w:tbl>
            <w:tblPr>
              <w:tblStyle w:val="TableGrid"/>
              <w:tblW w:w="0" w:type="auto"/>
              <w:tblLook w:val="04A0" w:firstRow="1" w:lastRow="0" w:firstColumn="1" w:lastColumn="0" w:noHBand="0" w:noVBand="1"/>
            </w:tblPr>
            <w:tblGrid>
              <w:gridCol w:w="2721"/>
              <w:gridCol w:w="2721"/>
              <w:gridCol w:w="2722"/>
            </w:tblGrid>
            <w:tr w:rsidR="00596496" w:rsidRPr="0061291F" w14:paraId="5760E209" w14:textId="77777777" w:rsidTr="00596496">
              <w:tc>
                <w:tcPr>
                  <w:tcW w:w="2721" w:type="dxa"/>
                </w:tcPr>
                <w:p w14:paraId="03EB352D" w14:textId="16EBDD07" w:rsidR="00596496" w:rsidRPr="0061291F" w:rsidRDefault="00596496" w:rsidP="00596496">
                  <w:pPr>
                    <w:spacing w:after="0"/>
                    <w:jc w:val="center"/>
                    <w:rPr>
                      <w:rFonts w:ascii="Arial" w:hAnsi="Arial" w:cs="Arial"/>
                      <w:b/>
                    </w:rPr>
                  </w:pPr>
                  <w:r w:rsidRPr="0061291F">
                    <w:rPr>
                      <w:rFonts w:ascii="Arial" w:hAnsi="Arial" w:cs="Arial"/>
                      <w:b/>
                    </w:rPr>
                    <w:t>Year</w:t>
                  </w:r>
                </w:p>
              </w:tc>
              <w:tc>
                <w:tcPr>
                  <w:tcW w:w="2721" w:type="dxa"/>
                </w:tcPr>
                <w:p w14:paraId="7163AD0D" w14:textId="7AABAAA1" w:rsidR="00596496" w:rsidRPr="0061291F" w:rsidRDefault="00596496" w:rsidP="00596496">
                  <w:pPr>
                    <w:spacing w:after="0"/>
                    <w:jc w:val="center"/>
                    <w:rPr>
                      <w:rFonts w:ascii="Arial" w:hAnsi="Arial" w:cs="Arial"/>
                      <w:b/>
                    </w:rPr>
                  </w:pPr>
                  <w:r w:rsidRPr="0061291F">
                    <w:rPr>
                      <w:rFonts w:ascii="Arial" w:hAnsi="Arial" w:cs="Arial"/>
                      <w:b/>
                    </w:rPr>
                    <w:t>No. of SARs Received</w:t>
                  </w:r>
                </w:p>
              </w:tc>
              <w:tc>
                <w:tcPr>
                  <w:tcW w:w="2722" w:type="dxa"/>
                </w:tcPr>
                <w:p w14:paraId="17F2C449" w14:textId="0F5263D0" w:rsidR="00596496" w:rsidRPr="0061291F" w:rsidRDefault="00596496" w:rsidP="00596496">
                  <w:pPr>
                    <w:spacing w:after="0"/>
                    <w:jc w:val="center"/>
                    <w:rPr>
                      <w:rFonts w:ascii="Arial" w:hAnsi="Arial" w:cs="Arial"/>
                      <w:b/>
                    </w:rPr>
                  </w:pPr>
                  <w:r w:rsidRPr="0061291F">
                    <w:rPr>
                      <w:rFonts w:ascii="Arial" w:hAnsi="Arial" w:cs="Arial"/>
                      <w:b/>
                    </w:rPr>
                    <w:t>Request for info. held by OPCC</w:t>
                  </w:r>
                </w:p>
              </w:tc>
            </w:tr>
            <w:tr w:rsidR="00596496" w:rsidRPr="0061291F" w14:paraId="4CDCFA54" w14:textId="77777777" w:rsidTr="00596496">
              <w:tc>
                <w:tcPr>
                  <w:tcW w:w="2721" w:type="dxa"/>
                </w:tcPr>
                <w:p w14:paraId="3ACC51FB" w14:textId="1751CA83" w:rsidR="00596496" w:rsidRPr="0061291F" w:rsidRDefault="00596496" w:rsidP="004371EB">
                  <w:pPr>
                    <w:spacing w:after="0"/>
                    <w:jc w:val="both"/>
                    <w:rPr>
                      <w:rFonts w:ascii="Arial" w:hAnsi="Arial" w:cs="Arial"/>
                      <w:bCs/>
                    </w:rPr>
                  </w:pPr>
                  <w:r w:rsidRPr="0061291F">
                    <w:rPr>
                      <w:rFonts w:ascii="Arial" w:hAnsi="Arial" w:cs="Arial"/>
                      <w:bCs/>
                    </w:rPr>
                    <w:t>2024/25</w:t>
                  </w:r>
                </w:p>
              </w:tc>
              <w:tc>
                <w:tcPr>
                  <w:tcW w:w="2721" w:type="dxa"/>
                </w:tcPr>
                <w:p w14:paraId="4B71D470" w14:textId="54B68A30" w:rsidR="00596496" w:rsidRPr="0061291F" w:rsidRDefault="00596496" w:rsidP="004371EB">
                  <w:pPr>
                    <w:spacing w:after="0"/>
                    <w:jc w:val="both"/>
                    <w:rPr>
                      <w:rFonts w:ascii="Arial" w:hAnsi="Arial" w:cs="Arial"/>
                      <w:bCs/>
                    </w:rPr>
                  </w:pPr>
                  <w:r w:rsidRPr="0061291F">
                    <w:rPr>
                      <w:rFonts w:ascii="Arial" w:hAnsi="Arial" w:cs="Arial"/>
                      <w:bCs/>
                    </w:rPr>
                    <w:t>38</w:t>
                  </w:r>
                </w:p>
              </w:tc>
              <w:tc>
                <w:tcPr>
                  <w:tcW w:w="2722" w:type="dxa"/>
                </w:tcPr>
                <w:p w14:paraId="68EFA6C0" w14:textId="2991D952" w:rsidR="00596496" w:rsidRPr="0061291F" w:rsidRDefault="00596496" w:rsidP="004371EB">
                  <w:pPr>
                    <w:spacing w:after="0"/>
                    <w:jc w:val="both"/>
                    <w:rPr>
                      <w:rFonts w:ascii="Arial" w:hAnsi="Arial" w:cs="Arial"/>
                      <w:bCs/>
                    </w:rPr>
                  </w:pPr>
                  <w:r w:rsidRPr="0061291F">
                    <w:rPr>
                      <w:rFonts w:ascii="Arial" w:hAnsi="Arial" w:cs="Arial"/>
                      <w:bCs/>
                    </w:rPr>
                    <w:t>2</w:t>
                  </w:r>
                </w:p>
              </w:tc>
            </w:tr>
            <w:tr w:rsidR="00596496" w:rsidRPr="0061291F" w14:paraId="51790CB4" w14:textId="77777777" w:rsidTr="00596496">
              <w:tc>
                <w:tcPr>
                  <w:tcW w:w="2721" w:type="dxa"/>
                </w:tcPr>
                <w:p w14:paraId="547C358A" w14:textId="5ABCE9CF" w:rsidR="00596496" w:rsidRPr="0061291F" w:rsidRDefault="00596496" w:rsidP="004371EB">
                  <w:pPr>
                    <w:spacing w:after="0"/>
                    <w:jc w:val="both"/>
                    <w:rPr>
                      <w:rFonts w:ascii="Arial" w:hAnsi="Arial" w:cs="Arial"/>
                      <w:bCs/>
                    </w:rPr>
                  </w:pPr>
                  <w:r w:rsidRPr="0061291F">
                    <w:rPr>
                      <w:rFonts w:ascii="Arial" w:hAnsi="Arial" w:cs="Arial"/>
                      <w:bCs/>
                    </w:rPr>
                    <w:t>2023/24</w:t>
                  </w:r>
                </w:p>
              </w:tc>
              <w:tc>
                <w:tcPr>
                  <w:tcW w:w="2721" w:type="dxa"/>
                </w:tcPr>
                <w:p w14:paraId="3C1EE4D9" w14:textId="36A042D6" w:rsidR="00596496" w:rsidRPr="0061291F" w:rsidRDefault="00596496" w:rsidP="004371EB">
                  <w:pPr>
                    <w:spacing w:after="0"/>
                    <w:jc w:val="both"/>
                    <w:rPr>
                      <w:rFonts w:ascii="Arial" w:hAnsi="Arial" w:cs="Arial"/>
                      <w:bCs/>
                    </w:rPr>
                  </w:pPr>
                  <w:r w:rsidRPr="0061291F">
                    <w:rPr>
                      <w:rFonts w:ascii="Arial" w:hAnsi="Arial" w:cs="Arial"/>
                      <w:bCs/>
                    </w:rPr>
                    <w:t>43</w:t>
                  </w:r>
                </w:p>
              </w:tc>
              <w:tc>
                <w:tcPr>
                  <w:tcW w:w="2722" w:type="dxa"/>
                </w:tcPr>
                <w:p w14:paraId="083E1A06" w14:textId="3B841115" w:rsidR="00596496" w:rsidRPr="0061291F" w:rsidRDefault="00596496" w:rsidP="004371EB">
                  <w:pPr>
                    <w:spacing w:after="0"/>
                    <w:jc w:val="both"/>
                    <w:rPr>
                      <w:rFonts w:ascii="Arial" w:hAnsi="Arial" w:cs="Arial"/>
                      <w:bCs/>
                    </w:rPr>
                  </w:pPr>
                  <w:r w:rsidRPr="0061291F">
                    <w:rPr>
                      <w:rFonts w:ascii="Arial" w:hAnsi="Arial" w:cs="Arial"/>
                      <w:bCs/>
                    </w:rPr>
                    <w:t>0</w:t>
                  </w:r>
                </w:p>
              </w:tc>
            </w:tr>
            <w:tr w:rsidR="00596496" w:rsidRPr="0061291F" w14:paraId="3DA33205" w14:textId="77777777" w:rsidTr="00596496">
              <w:tc>
                <w:tcPr>
                  <w:tcW w:w="2721" w:type="dxa"/>
                </w:tcPr>
                <w:p w14:paraId="2BE93BE5" w14:textId="3BE98C29" w:rsidR="00596496" w:rsidRPr="0061291F" w:rsidRDefault="00596496" w:rsidP="004371EB">
                  <w:pPr>
                    <w:spacing w:after="0"/>
                    <w:jc w:val="both"/>
                    <w:rPr>
                      <w:rFonts w:ascii="Arial" w:hAnsi="Arial" w:cs="Arial"/>
                      <w:bCs/>
                    </w:rPr>
                  </w:pPr>
                  <w:r w:rsidRPr="0061291F">
                    <w:rPr>
                      <w:rFonts w:ascii="Arial" w:hAnsi="Arial" w:cs="Arial"/>
                      <w:bCs/>
                    </w:rPr>
                    <w:t>2022/23</w:t>
                  </w:r>
                </w:p>
              </w:tc>
              <w:tc>
                <w:tcPr>
                  <w:tcW w:w="2721" w:type="dxa"/>
                </w:tcPr>
                <w:p w14:paraId="2DAB8640" w14:textId="18DB8BAE" w:rsidR="00596496" w:rsidRPr="0061291F" w:rsidRDefault="00596496" w:rsidP="004371EB">
                  <w:pPr>
                    <w:spacing w:after="0"/>
                    <w:jc w:val="both"/>
                    <w:rPr>
                      <w:rFonts w:ascii="Arial" w:hAnsi="Arial" w:cs="Arial"/>
                      <w:bCs/>
                    </w:rPr>
                  </w:pPr>
                  <w:r w:rsidRPr="0061291F">
                    <w:rPr>
                      <w:rFonts w:ascii="Arial" w:hAnsi="Arial" w:cs="Arial"/>
                      <w:bCs/>
                    </w:rPr>
                    <w:t>26</w:t>
                  </w:r>
                </w:p>
              </w:tc>
              <w:tc>
                <w:tcPr>
                  <w:tcW w:w="2722" w:type="dxa"/>
                </w:tcPr>
                <w:p w14:paraId="284A18B9" w14:textId="44D33385" w:rsidR="00596496" w:rsidRPr="0061291F" w:rsidRDefault="00A22A95" w:rsidP="004371EB">
                  <w:pPr>
                    <w:spacing w:after="0"/>
                    <w:jc w:val="both"/>
                    <w:rPr>
                      <w:rFonts w:ascii="Arial" w:hAnsi="Arial" w:cs="Arial"/>
                      <w:bCs/>
                    </w:rPr>
                  </w:pPr>
                  <w:r w:rsidRPr="0061291F">
                    <w:rPr>
                      <w:rFonts w:ascii="Arial" w:hAnsi="Arial" w:cs="Arial"/>
                      <w:bCs/>
                    </w:rPr>
                    <w:t>1</w:t>
                  </w:r>
                </w:p>
              </w:tc>
            </w:tr>
            <w:tr w:rsidR="00596496" w:rsidRPr="0061291F" w14:paraId="077D6A41" w14:textId="77777777" w:rsidTr="00596496">
              <w:tc>
                <w:tcPr>
                  <w:tcW w:w="2721" w:type="dxa"/>
                </w:tcPr>
                <w:p w14:paraId="38C2C83A" w14:textId="7EC4612E" w:rsidR="00596496" w:rsidRPr="0061291F" w:rsidRDefault="00596496" w:rsidP="004371EB">
                  <w:pPr>
                    <w:spacing w:after="0"/>
                    <w:jc w:val="both"/>
                    <w:rPr>
                      <w:rFonts w:ascii="Arial" w:hAnsi="Arial" w:cs="Arial"/>
                      <w:bCs/>
                    </w:rPr>
                  </w:pPr>
                  <w:r w:rsidRPr="0061291F">
                    <w:rPr>
                      <w:rFonts w:ascii="Arial" w:hAnsi="Arial" w:cs="Arial"/>
                      <w:bCs/>
                    </w:rPr>
                    <w:t>2021/22</w:t>
                  </w:r>
                </w:p>
              </w:tc>
              <w:tc>
                <w:tcPr>
                  <w:tcW w:w="2721" w:type="dxa"/>
                </w:tcPr>
                <w:p w14:paraId="23882DD1" w14:textId="0CF010F4" w:rsidR="00596496" w:rsidRPr="0061291F" w:rsidRDefault="00596496" w:rsidP="004371EB">
                  <w:pPr>
                    <w:spacing w:after="0"/>
                    <w:jc w:val="both"/>
                    <w:rPr>
                      <w:rFonts w:ascii="Arial" w:hAnsi="Arial" w:cs="Arial"/>
                      <w:bCs/>
                    </w:rPr>
                  </w:pPr>
                  <w:r w:rsidRPr="0061291F">
                    <w:rPr>
                      <w:rFonts w:ascii="Arial" w:hAnsi="Arial" w:cs="Arial"/>
                      <w:bCs/>
                    </w:rPr>
                    <w:t>34</w:t>
                  </w:r>
                </w:p>
              </w:tc>
              <w:tc>
                <w:tcPr>
                  <w:tcW w:w="2722" w:type="dxa"/>
                </w:tcPr>
                <w:p w14:paraId="3A526F1C" w14:textId="082ECDEA" w:rsidR="00596496" w:rsidRPr="0061291F" w:rsidRDefault="00A22A95" w:rsidP="004371EB">
                  <w:pPr>
                    <w:spacing w:after="0"/>
                    <w:jc w:val="both"/>
                    <w:rPr>
                      <w:rFonts w:ascii="Arial" w:hAnsi="Arial" w:cs="Arial"/>
                      <w:bCs/>
                    </w:rPr>
                  </w:pPr>
                  <w:r w:rsidRPr="0061291F">
                    <w:rPr>
                      <w:rFonts w:ascii="Arial" w:hAnsi="Arial" w:cs="Arial"/>
                      <w:bCs/>
                    </w:rPr>
                    <w:t>2</w:t>
                  </w:r>
                </w:p>
              </w:tc>
            </w:tr>
          </w:tbl>
          <w:p w14:paraId="27BB66DE" w14:textId="77777777" w:rsidR="00F20F29" w:rsidRPr="00F0225D" w:rsidRDefault="00F20F29" w:rsidP="004371EB">
            <w:pPr>
              <w:spacing w:after="0"/>
              <w:jc w:val="both"/>
              <w:rPr>
                <w:rFonts w:ascii="Arial" w:hAnsi="Arial" w:cs="Arial"/>
                <w:bCs/>
                <w:sz w:val="24"/>
                <w:szCs w:val="24"/>
                <w:highlight w:val="yellow"/>
              </w:rPr>
            </w:pPr>
          </w:p>
          <w:p w14:paraId="3044A08D" w14:textId="0B3EC79A" w:rsidR="00ED5290" w:rsidRDefault="0010095B" w:rsidP="004371EB">
            <w:pPr>
              <w:spacing w:after="0"/>
              <w:jc w:val="both"/>
              <w:rPr>
                <w:rFonts w:ascii="Arial" w:hAnsi="Arial" w:cs="Arial"/>
                <w:bCs/>
                <w:sz w:val="24"/>
                <w:szCs w:val="24"/>
              </w:rPr>
            </w:pPr>
            <w:r w:rsidRPr="00A22A95">
              <w:rPr>
                <w:rFonts w:ascii="Arial" w:hAnsi="Arial" w:cs="Arial"/>
                <w:bCs/>
                <w:sz w:val="24"/>
                <w:szCs w:val="24"/>
              </w:rPr>
              <w:t>Since 2020/21, a</w:t>
            </w:r>
            <w:r w:rsidR="006C0043" w:rsidRPr="00A22A95">
              <w:rPr>
                <w:rFonts w:ascii="Arial" w:hAnsi="Arial" w:cs="Arial"/>
                <w:bCs/>
                <w:sz w:val="24"/>
                <w:szCs w:val="24"/>
              </w:rPr>
              <w:t xml:space="preserve">ll </w:t>
            </w:r>
            <w:r w:rsidR="00CD093B" w:rsidRPr="00A22A95">
              <w:rPr>
                <w:rFonts w:ascii="Arial" w:hAnsi="Arial" w:cs="Arial"/>
                <w:bCs/>
                <w:sz w:val="24"/>
                <w:szCs w:val="24"/>
              </w:rPr>
              <w:t xml:space="preserve">bar </w:t>
            </w:r>
            <w:r w:rsidR="00A22A95" w:rsidRPr="00A22A95">
              <w:rPr>
                <w:rFonts w:ascii="Arial" w:hAnsi="Arial" w:cs="Arial"/>
                <w:bCs/>
                <w:sz w:val="24"/>
                <w:szCs w:val="24"/>
              </w:rPr>
              <w:t>5</w:t>
            </w:r>
            <w:r w:rsidR="00CD093B" w:rsidRPr="00A22A95">
              <w:rPr>
                <w:rFonts w:ascii="Arial" w:hAnsi="Arial" w:cs="Arial"/>
                <w:bCs/>
                <w:sz w:val="24"/>
                <w:szCs w:val="24"/>
              </w:rPr>
              <w:t xml:space="preserve"> r</w:t>
            </w:r>
            <w:r w:rsidR="006C0043" w:rsidRPr="00A22A95">
              <w:rPr>
                <w:rFonts w:ascii="Arial" w:hAnsi="Arial" w:cs="Arial"/>
                <w:bCs/>
                <w:sz w:val="24"/>
                <w:szCs w:val="24"/>
              </w:rPr>
              <w:t>e</w:t>
            </w:r>
            <w:r w:rsidR="00A45296" w:rsidRPr="00A22A95">
              <w:rPr>
                <w:rFonts w:ascii="Arial" w:hAnsi="Arial" w:cs="Arial"/>
                <w:bCs/>
                <w:sz w:val="24"/>
                <w:szCs w:val="24"/>
              </w:rPr>
              <w:t>quests</w:t>
            </w:r>
            <w:r w:rsidR="006C0043" w:rsidRPr="00A22A95">
              <w:rPr>
                <w:rFonts w:ascii="Arial" w:hAnsi="Arial" w:cs="Arial"/>
                <w:bCs/>
                <w:sz w:val="24"/>
                <w:szCs w:val="24"/>
              </w:rPr>
              <w:t xml:space="preserve"> received were for information held by Gwent Police </w:t>
            </w:r>
            <w:r w:rsidR="009C6621" w:rsidRPr="00A22A95">
              <w:rPr>
                <w:rFonts w:ascii="Arial" w:hAnsi="Arial" w:cs="Arial"/>
                <w:bCs/>
                <w:sz w:val="24"/>
                <w:szCs w:val="24"/>
              </w:rPr>
              <w:t>rather than</w:t>
            </w:r>
            <w:r w:rsidR="006C0043" w:rsidRPr="00A22A95">
              <w:rPr>
                <w:rFonts w:ascii="Arial" w:hAnsi="Arial" w:cs="Arial"/>
                <w:bCs/>
                <w:sz w:val="24"/>
                <w:szCs w:val="24"/>
              </w:rPr>
              <w:t xml:space="preserve"> the OPCC.</w:t>
            </w:r>
            <w:r w:rsidRPr="00A22A95">
              <w:rPr>
                <w:rFonts w:ascii="Arial" w:hAnsi="Arial" w:cs="Arial"/>
                <w:bCs/>
                <w:sz w:val="24"/>
                <w:szCs w:val="24"/>
              </w:rPr>
              <w:t xml:space="preserve">  </w:t>
            </w:r>
            <w:r w:rsidR="00582577" w:rsidRPr="00A22A95">
              <w:rPr>
                <w:rFonts w:ascii="Arial" w:hAnsi="Arial" w:cs="Arial"/>
                <w:bCs/>
                <w:sz w:val="24"/>
                <w:szCs w:val="24"/>
              </w:rPr>
              <w:t xml:space="preserve">The </w:t>
            </w:r>
            <w:r w:rsidR="00A22A95" w:rsidRPr="00A22A95">
              <w:rPr>
                <w:rFonts w:ascii="Arial" w:hAnsi="Arial" w:cs="Arial"/>
                <w:bCs/>
                <w:sz w:val="24"/>
                <w:szCs w:val="24"/>
              </w:rPr>
              <w:t>5</w:t>
            </w:r>
            <w:r w:rsidR="00582577" w:rsidRPr="00A22A95">
              <w:rPr>
                <w:rFonts w:ascii="Arial" w:hAnsi="Arial" w:cs="Arial"/>
                <w:bCs/>
                <w:sz w:val="24"/>
                <w:szCs w:val="24"/>
              </w:rPr>
              <w:t xml:space="preserve"> requests for information held by the OPCC were relating to complaints.  </w:t>
            </w:r>
            <w:r w:rsidR="00A22A95">
              <w:rPr>
                <w:rFonts w:ascii="Arial" w:hAnsi="Arial" w:cs="Arial"/>
                <w:bCs/>
                <w:sz w:val="24"/>
                <w:szCs w:val="24"/>
              </w:rPr>
              <w:t>1 request in 2024/25 was withdrawn when identification was requested.  The remaining requests were all</w:t>
            </w:r>
            <w:r w:rsidR="00582577" w:rsidRPr="00A22A95">
              <w:rPr>
                <w:rFonts w:ascii="Arial" w:hAnsi="Arial" w:cs="Arial"/>
                <w:bCs/>
                <w:sz w:val="24"/>
                <w:szCs w:val="24"/>
              </w:rPr>
              <w:t xml:space="preserve"> responded to within the </w:t>
            </w:r>
            <w:proofErr w:type="gramStart"/>
            <w:r w:rsidR="00582577" w:rsidRPr="00A22A95">
              <w:rPr>
                <w:rFonts w:ascii="Arial" w:hAnsi="Arial" w:cs="Arial"/>
                <w:bCs/>
                <w:sz w:val="24"/>
                <w:szCs w:val="24"/>
              </w:rPr>
              <w:t>1 month</w:t>
            </w:r>
            <w:proofErr w:type="gramEnd"/>
            <w:r w:rsidR="00582577" w:rsidRPr="00A22A95">
              <w:rPr>
                <w:rFonts w:ascii="Arial" w:hAnsi="Arial" w:cs="Arial"/>
                <w:bCs/>
                <w:sz w:val="24"/>
                <w:szCs w:val="24"/>
              </w:rPr>
              <w:t xml:space="preserve"> statutory timeframe</w:t>
            </w:r>
            <w:r w:rsidR="009624AE" w:rsidRPr="00A22A95">
              <w:rPr>
                <w:rFonts w:ascii="Arial" w:hAnsi="Arial" w:cs="Arial"/>
                <w:bCs/>
                <w:sz w:val="24"/>
                <w:szCs w:val="24"/>
              </w:rPr>
              <w:t>.</w:t>
            </w:r>
          </w:p>
          <w:p w14:paraId="6AD06271" w14:textId="77777777" w:rsidR="00A22A95" w:rsidRDefault="00A22A95" w:rsidP="004371EB">
            <w:pPr>
              <w:spacing w:after="0"/>
              <w:jc w:val="both"/>
              <w:rPr>
                <w:rFonts w:ascii="Arial" w:hAnsi="Arial" w:cs="Arial"/>
                <w:bCs/>
                <w:sz w:val="24"/>
                <w:szCs w:val="24"/>
              </w:rPr>
            </w:pPr>
          </w:p>
          <w:p w14:paraId="10C12561" w14:textId="39805FF6" w:rsidR="009624AE" w:rsidRDefault="009624AE" w:rsidP="004371EB">
            <w:pPr>
              <w:spacing w:after="0"/>
              <w:jc w:val="both"/>
              <w:rPr>
                <w:rFonts w:ascii="Arial" w:hAnsi="Arial" w:cs="Arial"/>
                <w:bCs/>
                <w:sz w:val="24"/>
                <w:szCs w:val="24"/>
              </w:rPr>
            </w:pPr>
            <w:r w:rsidRPr="00A22A95">
              <w:rPr>
                <w:rFonts w:ascii="Arial" w:hAnsi="Arial" w:cs="Arial"/>
                <w:bCs/>
                <w:sz w:val="24"/>
                <w:szCs w:val="24"/>
              </w:rPr>
              <w:t>The</w:t>
            </w:r>
            <w:r w:rsidR="0061291F">
              <w:rPr>
                <w:rFonts w:ascii="Arial" w:hAnsi="Arial" w:cs="Arial"/>
                <w:bCs/>
                <w:sz w:val="24"/>
                <w:szCs w:val="24"/>
              </w:rPr>
              <w:t xml:space="preserve"> only</w:t>
            </w:r>
            <w:r w:rsidRPr="00A22A95">
              <w:rPr>
                <w:rFonts w:ascii="Arial" w:hAnsi="Arial" w:cs="Arial"/>
                <w:bCs/>
                <w:sz w:val="24"/>
                <w:szCs w:val="24"/>
              </w:rPr>
              <w:t xml:space="preserve"> explanation for the large </w:t>
            </w:r>
            <w:r w:rsidR="0061291F">
              <w:rPr>
                <w:rFonts w:ascii="Arial" w:hAnsi="Arial" w:cs="Arial"/>
                <w:bCs/>
                <w:sz w:val="24"/>
                <w:szCs w:val="24"/>
              </w:rPr>
              <w:t>number of</w:t>
            </w:r>
            <w:r w:rsidRPr="00A22A95">
              <w:rPr>
                <w:rFonts w:ascii="Arial" w:hAnsi="Arial" w:cs="Arial"/>
                <w:bCs/>
                <w:sz w:val="24"/>
                <w:szCs w:val="24"/>
              </w:rPr>
              <w:t xml:space="preserve"> requests made to the OPCC that should have been submitted to Gwent Police </w:t>
            </w:r>
            <w:r w:rsidR="0061291F">
              <w:rPr>
                <w:rFonts w:ascii="Arial" w:hAnsi="Arial" w:cs="Arial"/>
                <w:bCs/>
                <w:sz w:val="24"/>
                <w:szCs w:val="24"/>
              </w:rPr>
              <w:t>is that</w:t>
            </w:r>
            <w:r w:rsidRPr="00A22A95">
              <w:rPr>
                <w:rFonts w:ascii="Arial" w:hAnsi="Arial" w:cs="Arial"/>
                <w:bCs/>
                <w:sz w:val="24"/>
                <w:szCs w:val="24"/>
              </w:rPr>
              <w:t xml:space="preserve"> when you search online </w:t>
            </w:r>
            <w:r w:rsidRPr="00A22A95">
              <w:rPr>
                <w:rFonts w:ascii="Arial" w:hAnsi="Arial" w:cs="Arial"/>
                <w:bCs/>
                <w:sz w:val="24"/>
                <w:szCs w:val="24"/>
              </w:rPr>
              <w:lastRenderedPageBreak/>
              <w:t xml:space="preserve">for ‘Gwent Police Subject Access Request’, the first link that appears is for the OPCC website.  </w:t>
            </w:r>
            <w:r w:rsidR="0061291F">
              <w:rPr>
                <w:rFonts w:ascii="Arial" w:hAnsi="Arial" w:cs="Arial"/>
                <w:bCs/>
                <w:sz w:val="24"/>
                <w:szCs w:val="24"/>
              </w:rPr>
              <w:t xml:space="preserve">There is </w:t>
            </w:r>
            <w:r w:rsidRPr="00A22A95">
              <w:rPr>
                <w:rFonts w:ascii="Arial" w:hAnsi="Arial" w:cs="Arial"/>
                <w:bCs/>
                <w:sz w:val="24"/>
                <w:szCs w:val="24"/>
              </w:rPr>
              <w:t xml:space="preserve">nothing </w:t>
            </w:r>
            <w:r w:rsidR="002B4F84">
              <w:rPr>
                <w:rFonts w:ascii="Arial" w:hAnsi="Arial" w:cs="Arial"/>
                <w:bCs/>
                <w:sz w:val="24"/>
                <w:szCs w:val="24"/>
              </w:rPr>
              <w:t>that can be done to</w:t>
            </w:r>
            <w:r w:rsidRPr="00A22A95">
              <w:rPr>
                <w:rFonts w:ascii="Arial" w:hAnsi="Arial" w:cs="Arial"/>
                <w:bCs/>
                <w:sz w:val="24"/>
                <w:szCs w:val="24"/>
              </w:rPr>
              <w:t xml:space="preserve"> change this.  </w:t>
            </w:r>
            <w:r w:rsidR="002B4F84">
              <w:rPr>
                <w:rFonts w:ascii="Arial" w:hAnsi="Arial" w:cs="Arial"/>
                <w:bCs/>
                <w:sz w:val="24"/>
                <w:szCs w:val="24"/>
              </w:rPr>
              <w:t>Wording is included</w:t>
            </w:r>
            <w:r w:rsidRPr="00A22A95">
              <w:rPr>
                <w:rFonts w:ascii="Arial" w:hAnsi="Arial" w:cs="Arial"/>
                <w:bCs/>
                <w:sz w:val="24"/>
                <w:szCs w:val="24"/>
              </w:rPr>
              <w:t xml:space="preserve"> on the SAR request form</w:t>
            </w:r>
            <w:r w:rsidR="00DE654B">
              <w:rPr>
                <w:rFonts w:ascii="Arial" w:hAnsi="Arial" w:cs="Arial"/>
                <w:bCs/>
                <w:sz w:val="24"/>
                <w:szCs w:val="24"/>
              </w:rPr>
              <w:t xml:space="preserve"> and on our website</w:t>
            </w:r>
            <w:r w:rsidRPr="00A22A95">
              <w:rPr>
                <w:rFonts w:ascii="Arial" w:hAnsi="Arial" w:cs="Arial"/>
                <w:bCs/>
                <w:sz w:val="24"/>
                <w:szCs w:val="24"/>
              </w:rPr>
              <w:t>, advising people to contact Gwent Police if they are requesting policing information</w:t>
            </w:r>
            <w:r w:rsidR="0061291F">
              <w:rPr>
                <w:rFonts w:ascii="Arial" w:hAnsi="Arial" w:cs="Arial"/>
                <w:bCs/>
                <w:sz w:val="24"/>
                <w:szCs w:val="24"/>
              </w:rPr>
              <w:t>,</w:t>
            </w:r>
            <w:r w:rsidR="00A22A95">
              <w:rPr>
                <w:rFonts w:ascii="Arial" w:hAnsi="Arial" w:cs="Arial"/>
                <w:bCs/>
                <w:sz w:val="24"/>
                <w:szCs w:val="24"/>
              </w:rPr>
              <w:t xml:space="preserve"> but this has had limited impact</w:t>
            </w:r>
            <w:r w:rsidRPr="00A22A95">
              <w:rPr>
                <w:rFonts w:ascii="Arial" w:hAnsi="Arial" w:cs="Arial"/>
                <w:bCs/>
                <w:sz w:val="24"/>
                <w:szCs w:val="24"/>
              </w:rPr>
              <w:t>.</w:t>
            </w:r>
            <w:r w:rsidR="00A22A95">
              <w:rPr>
                <w:rFonts w:ascii="Arial" w:hAnsi="Arial" w:cs="Arial"/>
                <w:bCs/>
                <w:sz w:val="24"/>
                <w:szCs w:val="24"/>
              </w:rPr>
              <w:t xml:space="preserve">  </w:t>
            </w:r>
          </w:p>
          <w:p w14:paraId="77F435C4" w14:textId="77777777" w:rsidR="00E16A95" w:rsidRDefault="00E16A95" w:rsidP="004371EB">
            <w:pPr>
              <w:spacing w:after="0"/>
              <w:jc w:val="both"/>
              <w:rPr>
                <w:rFonts w:ascii="Arial" w:hAnsi="Arial" w:cs="Arial"/>
                <w:bCs/>
                <w:sz w:val="24"/>
                <w:szCs w:val="24"/>
              </w:rPr>
            </w:pPr>
          </w:p>
          <w:p w14:paraId="49C418BB" w14:textId="4B46A513" w:rsidR="00E16A95" w:rsidRPr="00DE654B" w:rsidRDefault="00E16A95" w:rsidP="004371EB">
            <w:pPr>
              <w:spacing w:after="0"/>
              <w:jc w:val="both"/>
              <w:rPr>
                <w:rFonts w:ascii="Arial" w:hAnsi="Arial" w:cs="Arial"/>
                <w:b/>
                <w:sz w:val="24"/>
                <w:szCs w:val="24"/>
              </w:rPr>
            </w:pPr>
            <w:r w:rsidRPr="00DE654B">
              <w:rPr>
                <w:rFonts w:ascii="Arial" w:hAnsi="Arial" w:cs="Arial"/>
                <w:b/>
                <w:sz w:val="24"/>
                <w:szCs w:val="24"/>
              </w:rPr>
              <w:t>Freedom of Information Requests</w:t>
            </w:r>
          </w:p>
          <w:p w14:paraId="34CFC514" w14:textId="29EB34C2" w:rsidR="005D40F6" w:rsidRPr="00DE654B" w:rsidRDefault="005D40F6" w:rsidP="005D40F6">
            <w:pPr>
              <w:spacing w:after="0"/>
              <w:jc w:val="both"/>
              <w:rPr>
                <w:rFonts w:ascii="Arial" w:hAnsi="Arial" w:cs="Arial"/>
                <w:sz w:val="24"/>
                <w:szCs w:val="24"/>
              </w:rPr>
            </w:pPr>
            <w:r w:rsidRPr="00DE654B">
              <w:rPr>
                <w:rFonts w:ascii="Arial" w:hAnsi="Arial" w:cs="Arial"/>
                <w:sz w:val="24"/>
                <w:szCs w:val="24"/>
              </w:rPr>
              <w:t>The F</w:t>
            </w:r>
            <w:r w:rsidR="00107A42" w:rsidRPr="00DE654B">
              <w:rPr>
                <w:rFonts w:ascii="Arial" w:hAnsi="Arial" w:cs="Arial"/>
                <w:sz w:val="24"/>
                <w:szCs w:val="24"/>
              </w:rPr>
              <w:t xml:space="preserve">reedom </w:t>
            </w:r>
            <w:r w:rsidR="00563628" w:rsidRPr="00DE654B">
              <w:rPr>
                <w:rFonts w:ascii="Arial" w:hAnsi="Arial" w:cs="Arial"/>
                <w:sz w:val="24"/>
                <w:szCs w:val="24"/>
              </w:rPr>
              <w:t>o</w:t>
            </w:r>
            <w:r w:rsidR="00107A42" w:rsidRPr="00DE654B">
              <w:rPr>
                <w:rFonts w:ascii="Arial" w:hAnsi="Arial" w:cs="Arial"/>
                <w:sz w:val="24"/>
                <w:szCs w:val="24"/>
              </w:rPr>
              <w:t xml:space="preserve">f </w:t>
            </w:r>
            <w:r w:rsidRPr="00DE654B">
              <w:rPr>
                <w:rFonts w:ascii="Arial" w:hAnsi="Arial" w:cs="Arial"/>
                <w:sz w:val="24"/>
                <w:szCs w:val="24"/>
              </w:rPr>
              <w:t>I</w:t>
            </w:r>
            <w:r w:rsidR="00107A42" w:rsidRPr="00DE654B">
              <w:rPr>
                <w:rFonts w:ascii="Arial" w:hAnsi="Arial" w:cs="Arial"/>
                <w:sz w:val="24"/>
                <w:szCs w:val="24"/>
              </w:rPr>
              <w:t xml:space="preserve">nformation </w:t>
            </w:r>
            <w:r w:rsidRPr="00DE654B">
              <w:rPr>
                <w:rFonts w:ascii="Arial" w:hAnsi="Arial" w:cs="Arial"/>
                <w:sz w:val="24"/>
                <w:szCs w:val="24"/>
              </w:rPr>
              <w:t>A</w:t>
            </w:r>
            <w:r w:rsidR="00107A42" w:rsidRPr="00DE654B">
              <w:rPr>
                <w:rFonts w:ascii="Arial" w:hAnsi="Arial" w:cs="Arial"/>
                <w:sz w:val="24"/>
                <w:szCs w:val="24"/>
              </w:rPr>
              <w:t>ct (FOIA)</w:t>
            </w:r>
            <w:r w:rsidRPr="00DE654B">
              <w:rPr>
                <w:rFonts w:ascii="Arial" w:hAnsi="Arial" w:cs="Arial"/>
                <w:sz w:val="24"/>
                <w:szCs w:val="24"/>
              </w:rPr>
              <w:t xml:space="preserve"> provides access to information held by public authorities.  </w:t>
            </w:r>
          </w:p>
          <w:p w14:paraId="5F1E4E07" w14:textId="77777777" w:rsidR="00E16A95" w:rsidRPr="00DE654B" w:rsidRDefault="00E16A95" w:rsidP="004371EB">
            <w:pPr>
              <w:spacing w:after="0"/>
              <w:jc w:val="both"/>
              <w:rPr>
                <w:rFonts w:ascii="Arial" w:hAnsi="Arial" w:cs="Arial"/>
                <w:bCs/>
                <w:sz w:val="24"/>
                <w:szCs w:val="24"/>
              </w:rPr>
            </w:pPr>
          </w:p>
          <w:tbl>
            <w:tblPr>
              <w:tblStyle w:val="TableGrid"/>
              <w:tblW w:w="0" w:type="auto"/>
              <w:tblLook w:val="04A0" w:firstRow="1" w:lastRow="0" w:firstColumn="1" w:lastColumn="0" w:noHBand="0" w:noVBand="1"/>
            </w:tblPr>
            <w:tblGrid>
              <w:gridCol w:w="1200"/>
              <w:gridCol w:w="2126"/>
              <w:gridCol w:w="1985"/>
              <w:gridCol w:w="2853"/>
            </w:tblGrid>
            <w:tr w:rsidR="00E16A95" w:rsidRPr="00DE654B" w14:paraId="12A049D9" w14:textId="77777777" w:rsidTr="002B4F84">
              <w:tc>
                <w:tcPr>
                  <w:tcW w:w="1200" w:type="dxa"/>
                </w:tcPr>
                <w:p w14:paraId="1AB29EB3" w14:textId="34DFE240" w:rsidR="00E16A95" w:rsidRPr="00DE654B" w:rsidRDefault="00E16A95" w:rsidP="00E16A95">
                  <w:pPr>
                    <w:spacing w:after="0"/>
                    <w:jc w:val="both"/>
                    <w:rPr>
                      <w:rFonts w:ascii="Arial" w:hAnsi="Arial" w:cs="Arial"/>
                      <w:bCs/>
                      <w:sz w:val="24"/>
                      <w:szCs w:val="24"/>
                    </w:rPr>
                  </w:pPr>
                  <w:r w:rsidRPr="00DE654B">
                    <w:rPr>
                      <w:rFonts w:ascii="Arial" w:hAnsi="Arial" w:cs="Arial"/>
                      <w:b/>
                      <w:sz w:val="20"/>
                      <w:szCs w:val="20"/>
                    </w:rPr>
                    <w:t>Year</w:t>
                  </w:r>
                </w:p>
              </w:tc>
              <w:tc>
                <w:tcPr>
                  <w:tcW w:w="2126" w:type="dxa"/>
                </w:tcPr>
                <w:p w14:paraId="517EF545" w14:textId="24D44407" w:rsidR="00E16A95" w:rsidRPr="00DE654B" w:rsidRDefault="00E16A95" w:rsidP="00E16A95">
                  <w:pPr>
                    <w:spacing w:after="0"/>
                    <w:jc w:val="both"/>
                    <w:rPr>
                      <w:rFonts w:ascii="Arial" w:hAnsi="Arial" w:cs="Arial"/>
                      <w:bCs/>
                      <w:sz w:val="24"/>
                      <w:szCs w:val="24"/>
                    </w:rPr>
                  </w:pPr>
                  <w:r w:rsidRPr="00DE654B">
                    <w:rPr>
                      <w:rFonts w:ascii="Arial" w:hAnsi="Arial" w:cs="Arial"/>
                      <w:b/>
                      <w:sz w:val="20"/>
                      <w:szCs w:val="20"/>
                    </w:rPr>
                    <w:t>No. of FOIs Received</w:t>
                  </w:r>
                </w:p>
              </w:tc>
              <w:tc>
                <w:tcPr>
                  <w:tcW w:w="1985" w:type="dxa"/>
                </w:tcPr>
                <w:p w14:paraId="0E943368" w14:textId="52522D3A" w:rsidR="00E16A95" w:rsidRPr="00DE654B" w:rsidRDefault="00E16A95" w:rsidP="00E16A95">
                  <w:pPr>
                    <w:spacing w:after="0"/>
                    <w:jc w:val="both"/>
                    <w:rPr>
                      <w:rFonts w:ascii="Arial" w:hAnsi="Arial" w:cs="Arial"/>
                      <w:bCs/>
                      <w:sz w:val="24"/>
                      <w:szCs w:val="24"/>
                    </w:rPr>
                  </w:pPr>
                  <w:r w:rsidRPr="00DE654B">
                    <w:rPr>
                      <w:rFonts w:ascii="Arial" w:hAnsi="Arial" w:cs="Arial"/>
                      <w:b/>
                      <w:sz w:val="20"/>
                      <w:szCs w:val="20"/>
                    </w:rPr>
                    <w:t>Requests for info. held by OPCC</w:t>
                  </w:r>
                </w:p>
              </w:tc>
              <w:tc>
                <w:tcPr>
                  <w:tcW w:w="2853" w:type="dxa"/>
                </w:tcPr>
                <w:p w14:paraId="6684E05D" w14:textId="2E2A1BE4" w:rsidR="00E16A95" w:rsidRPr="00DE654B" w:rsidRDefault="002B4F84" w:rsidP="00E16A95">
                  <w:pPr>
                    <w:spacing w:after="0"/>
                    <w:jc w:val="both"/>
                    <w:rPr>
                      <w:rFonts w:ascii="Arial" w:hAnsi="Arial" w:cs="Arial"/>
                      <w:bCs/>
                      <w:sz w:val="24"/>
                      <w:szCs w:val="24"/>
                    </w:rPr>
                  </w:pPr>
                  <w:r w:rsidRPr="00DE654B">
                    <w:rPr>
                      <w:rFonts w:ascii="Arial" w:hAnsi="Arial" w:cs="Arial"/>
                      <w:b/>
                      <w:sz w:val="20"/>
                      <w:szCs w:val="20"/>
                    </w:rPr>
                    <w:t xml:space="preserve">Timeliness </w:t>
                  </w:r>
                  <w:r w:rsidRPr="00DE654B">
                    <w:rPr>
                      <w:rFonts w:ascii="Arial" w:hAnsi="Arial" w:cs="Arial"/>
                      <w:b/>
                      <w:sz w:val="20"/>
                      <w:szCs w:val="20"/>
                    </w:rPr>
                    <w:br/>
                  </w:r>
                  <w:r w:rsidRPr="00DE654B">
                    <w:rPr>
                      <w:rFonts w:ascii="Arial" w:hAnsi="Arial" w:cs="Arial"/>
                      <w:bCs/>
                      <w:sz w:val="16"/>
                      <w:szCs w:val="16"/>
                    </w:rPr>
                    <w:t>(within 20 working days)</w:t>
                  </w:r>
                </w:p>
              </w:tc>
            </w:tr>
            <w:tr w:rsidR="00E16A95" w:rsidRPr="00DE654B" w14:paraId="40B85FE6" w14:textId="77777777" w:rsidTr="002B4F84">
              <w:tc>
                <w:tcPr>
                  <w:tcW w:w="1200" w:type="dxa"/>
                </w:tcPr>
                <w:p w14:paraId="2A3DB930" w14:textId="2B8B3C11" w:rsidR="00E16A95" w:rsidRPr="00DE654B" w:rsidRDefault="00E16A95" w:rsidP="004371EB">
                  <w:pPr>
                    <w:spacing w:after="0"/>
                    <w:jc w:val="both"/>
                    <w:rPr>
                      <w:rFonts w:ascii="Arial" w:hAnsi="Arial" w:cs="Arial"/>
                      <w:bCs/>
                    </w:rPr>
                  </w:pPr>
                  <w:r w:rsidRPr="00DE654B">
                    <w:rPr>
                      <w:rFonts w:ascii="Arial" w:hAnsi="Arial" w:cs="Arial"/>
                      <w:bCs/>
                    </w:rPr>
                    <w:t>2024/25</w:t>
                  </w:r>
                </w:p>
              </w:tc>
              <w:tc>
                <w:tcPr>
                  <w:tcW w:w="2126" w:type="dxa"/>
                </w:tcPr>
                <w:p w14:paraId="1CF6387D" w14:textId="30D5A7FD" w:rsidR="00E16A95" w:rsidRPr="00DE654B" w:rsidRDefault="005D40F6" w:rsidP="004371EB">
                  <w:pPr>
                    <w:spacing w:after="0"/>
                    <w:jc w:val="both"/>
                    <w:rPr>
                      <w:rFonts w:ascii="Arial" w:hAnsi="Arial" w:cs="Arial"/>
                      <w:bCs/>
                    </w:rPr>
                  </w:pPr>
                  <w:r w:rsidRPr="00DE654B">
                    <w:rPr>
                      <w:rFonts w:ascii="Arial" w:hAnsi="Arial" w:cs="Arial"/>
                      <w:bCs/>
                    </w:rPr>
                    <w:t>36</w:t>
                  </w:r>
                </w:p>
              </w:tc>
              <w:tc>
                <w:tcPr>
                  <w:tcW w:w="1985" w:type="dxa"/>
                </w:tcPr>
                <w:p w14:paraId="2CE1C2EB" w14:textId="2F223541" w:rsidR="00E16A95" w:rsidRPr="00DE654B" w:rsidRDefault="005D40F6" w:rsidP="004371EB">
                  <w:pPr>
                    <w:spacing w:after="0"/>
                    <w:jc w:val="both"/>
                    <w:rPr>
                      <w:rFonts w:ascii="Arial" w:hAnsi="Arial" w:cs="Arial"/>
                      <w:bCs/>
                    </w:rPr>
                  </w:pPr>
                  <w:r w:rsidRPr="00DE654B">
                    <w:rPr>
                      <w:rFonts w:ascii="Arial" w:hAnsi="Arial" w:cs="Arial"/>
                      <w:bCs/>
                    </w:rPr>
                    <w:t>20</w:t>
                  </w:r>
                </w:p>
              </w:tc>
              <w:tc>
                <w:tcPr>
                  <w:tcW w:w="2853" w:type="dxa"/>
                </w:tcPr>
                <w:p w14:paraId="6BFF6AFD" w14:textId="67D28626" w:rsidR="00E16A95" w:rsidRPr="00DE654B" w:rsidRDefault="002B4F84" w:rsidP="004371EB">
                  <w:pPr>
                    <w:spacing w:after="0"/>
                    <w:jc w:val="both"/>
                    <w:rPr>
                      <w:rFonts w:ascii="Arial" w:hAnsi="Arial" w:cs="Arial"/>
                      <w:bCs/>
                    </w:rPr>
                  </w:pPr>
                  <w:r w:rsidRPr="00DE654B">
                    <w:rPr>
                      <w:rFonts w:ascii="Arial" w:hAnsi="Arial" w:cs="Arial"/>
                      <w:bCs/>
                    </w:rPr>
                    <w:t>97% (1)</w:t>
                  </w:r>
                </w:p>
              </w:tc>
            </w:tr>
            <w:tr w:rsidR="00E16A95" w:rsidRPr="00DE654B" w14:paraId="53A391E2" w14:textId="77777777" w:rsidTr="002B4F84">
              <w:tc>
                <w:tcPr>
                  <w:tcW w:w="1200" w:type="dxa"/>
                </w:tcPr>
                <w:p w14:paraId="7C43DB49" w14:textId="7DFE1127" w:rsidR="00E16A95" w:rsidRPr="00DE654B" w:rsidRDefault="00E16A95" w:rsidP="004371EB">
                  <w:pPr>
                    <w:spacing w:after="0"/>
                    <w:jc w:val="both"/>
                    <w:rPr>
                      <w:rFonts w:ascii="Arial" w:hAnsi="Arial" w:cs="Arial"/>
                      <w:bCs/>
                    </w:rPr>
                  </w:pPr>
                  <w:r w:rsidRPr="00DE654B">
                    <w:rPr>
                      <w:rFonts w:ascii="Arial" w:hAnsi="Arial" w:cs="Arial"/>
                      <w:bCs/>
                    </w:rPr>
                    <w:t>2023/24</w:t>
                  </w:r>
                </w:p>
              </w:tc>
              <w:tc>
                <w:tcPr>
                  <w:tcW w:w="2126" w:type="dxa"/>
                </w:tcPr>
                <w:p w14:paraId="52406C77" w14:textId="39E2DC86" w:rsidR="00E16A95" w:rsidRPr="00DE654B" w:rsidRDefault="00E16A95" w:rsidP="004371EB">
                  <w:pPr>
                    <w:spacing w:after="0"/>
                    <w:jc w:val="both"/>
                    <w:rPr>
                      <w:rFonts w:ascii="Arial" w:hAnsi="Arial" w:cs="Arial"/>
                      <w:bCs/>
                    </w:rPr>
                  </w:pPr>
                  <w:r w:rsidRPr="00DE654B">
                    <w:rPr>
                      <w:rFonts w:ascii="Arial" w:hAnsi="Arial" w:cs="Arial"/>
                      <w:bCs/>
                    </w:rPr>
                    <w:t>39 (1 responded to under EIR</w:t>
                  </w:r>
                  <w:r w:rsidR="00DE654B" w:rsidRPr="00DE654B">
                    <w:rPr>
                      <w:rFonts w:ascii="Arial" w:hAnsi="Arial" w:cs="Arial"/>
                      <w:bCs/>
                    </w:rPr>
                    <w:t>*</w:t>
                  </w:r>
                  <w:r w:rsidRPr="00DE654B">
                    <w:rPr>
                      <w:rFonts w:ascii="Arial" w:hAnsi="Arial" w:cs="Arial"/>
                      <w:bCs/>
                    </w:rPr>
                    <w:t>)</w:t>
                  </w:r>
                </w:p>
              </w:tc>
              <w:tc>
                <w:tcPr>
                  <w:tcW w:w="1985" w:type="dxa"/>
                </w:tcPr>
                <w:p w14:paraId="0C8DEF45" w14:textId="74450626" w:rsidR="00E16A95" w:rsidRPr="00DE654B" w:rsidRDefault="0059135C" w:rsidP="004371EB">
                  <w:pPr>
                    <w:spacing w:after="0"/>
                    <w:jc w:val="both"/>
                    <w:rPr>
                      <w:rFonts w:ascii="Arial" w:hAnsi="Arial" w:cs="Arial"/>
                      <w:bCs/>
                    </w:rPr>
                  </w:pPr>
                  <w:r w:rsidRPr="00DE654B">
                    <w:rPr>
                      <w:rFonts w:ascii="Arial" w:hAnsi="Arial" w:cs="Arial"/>
                      <w:bCs/>
                    </w:rPr>
                    <w:t>13</w:t>
                  </w:r>
                </w:p>
              </w:tc>
              <w:tc>
                <w:tcPr>
                  <w:tcW w:w="2853" w:type="dxa"/>
                </w:tcPr>
                <w:p w14:paraId="3C20DBF8" w14:textId="0A1B6688" w:rsidR="00E16A95" w:rsidRPr="00DE654B" w:rsidRDefault="002B4F84" w:rsidP="004371EB">
                  <w:pPr>
                    <w:spacing w:after="0"/>
                    <w:jc w:val="both"/>
                    <w:rPr>
                      <w:rFonts w:ascii="Arial" w:hAnsi="Arial" w:cs="Arial"/>
                      <w:bCs/>
                    </w:rPr>
                  </w:pPr>
                  <w:r w:rsidRPr="00DE654B">
                    <w:rPr>
                      <w:rFonts w:ascii="Arial" w:hAnsi="Arial" w:cs="Arial"/>
                      <w:bCs/>
                    </w:rPr>
                    <w:t>97% (1)</w:t>
                  </w:r>
                </w:p>
              </w:tc>
            </w:tr>
            <w:tr w:rsidR="00E16A95" w:rsidRPr="00DE654B" w14:paraId="038CD795" w14:textId="77777777" w:rsidTr="002B4F84">
              <w:tc>
                <w:tcPr>
                  <w:tcW w:w="1200" w:type="dxa"/>
                </w:tcPr>
                <w:p w14:paraId="45206E4E" w14:textId="4C7FB2D6" w:rsidR="00E16A95" w:rsidRPr="00DE654B" w:rsidRDefault="00E16A95" w:rsidP="004371EB">
                  <w:pPr>
                    <w:spacing w:after="0"/>
                    <w:jc w:val="both"/>
                    <w:rPr>
                      <w:rFonts w:ascii="Arial" w:hAnsi="Arial" w:cs="Arial"/>
                      <w:bCs/>
                    </w:rPr>
                  </w:pPr>
                  <w:r w:rsidRPr="00DE654B">
                    <w:rPr>
                      <w:rFonts w:ascii="Arial" w:hAnsi="Arial" w:cs="Arial"/>
                      <w:bCs/>
                    </w:rPr>
                    <w:t>2022/23</w:t>
                  </w:r>
                </w:p>
              </w:tc>
              <w:tc>
                <w:tcPr>
                  <w:tcW w:w="2126" w:type="dxa"/>
                </w:tcPr>
                <w:p w14:paraId="08349310" w14:textId="08FACCE3" w:rsidR="00E16A95" w:rsidRPr="00DE654B" w:rsidRDefault="00E16A95" w:rsidP="004371EB">
                  <w:pPr>
                    <w:spacing w:after="0"/>
                    <w:jc w:val="both"/>
                    <w:rPr>
                      <w:rFonts w:ascii="Arial" w:hAnsi="Arial" w:cs="Arial"/>
                      <w:bCs/>
                    </w:rPr>
                  </w:pPr>
                  <w:r w:rsidRPr="00DE654B">
                    <w:rPr>
                      <w:rFonts w:ascii="Arial" w:hAnsi="Arial" w:cs="Arial"/>
                      <w:bCs/>
                    </w:rPr>
                    <w:t>35</w:t>
                  </w:r>
                </w:p>
              </w:tc>
              <w:tc>
                <w:tcPr>
                  <w:tcW w:w="1985" w:type="dxa"/>
                </w:tcPr>
                <w:p w14:paraId="63FA6F6D" w14:textId="39A7FA79" w:rsidR="00E16A95" w:rsidRPr="00DE654B" w:rsidRDefault="0059135C" w:rsidP="004371EB">
                  <w:pPr>
                    <w:spacing w:after="0"/>
                    <w:jc w:val="both"/>
                    <w:rPr>
                      <w:rFonts w:ascii="Arial" w:hAnsi="Arial" w:cs="Arial"/>
                      <w:bCs/>
                    </w:rPr>
                  </w:pPr>
                  <w:r w:rsidRPr="00DE654B">
                    <w:rPr>
                      <w:rFonts w:ascii="Arial" w:hAnsi="Arial" w:cs="Arial"/>
                      <w:bCs/>
                    </w:rPr>
                    <w:t>8</w:t>
                  </w:r>
                </w:p>
              </w:tc>
              <w:tc>
                <w:tcPr>
                  <w:tcW w:w="2853" w:type="dxa"/>
                </w:tcPr>
                <w:p w14:paraId="1991A5A8" w14:textId="65B957D2" w:rsidR="00E16A95" w:rsidRPr="00DE654B" w:rsidRDefault="001924C3" w:rsidP="004371EB">
                  <w:pPr>
                    <w:spacing w:after="0"/>
                    <w:jc w:val="both"/>
                    <w:rPr>
                      <w:rFonts w:ascii="Arial" w:hAnsi="Arial" w:cs="Arial"/>
                      <w:bCs/>
                    </w:rPr>
                  </w:pPr>
                  <w:r w:rsidRPr="00DE654B">
                    <w:rPr>
                      <w:rFonts w:ascii="Arial" w:hAnsi="Arial" w:cs="Arial"/>
                      <w:bCs/>
                    </w:rPr>
                    <w:t>94% (2)</w:t>
                  </w:r>
                </w:p>
              </w:tc>
            </w:tr>
            <w:tr w:rsidR="00E16A95" w:rsidRPr="00DE654B" w14:paraId="614C8DC7" w14:textId="77777777" w:rsidTr="002B4F84">
              <w:tc>
                <w:tcPr>
                  <w:tcW w:w="1200" w:type="dxa"/>
                </w:tcPr>
                <w:p w14:paraId="4D370F6C" w14:textId="3FD0EC51" w:rsidR="00E16A95" w:rsidRPr="00DE654B" w:rsidRDefault="00E16A95" w:rsidP="004371EB">
                  <w:pPr>
                    <w:spacing w:after="0"/>
                    <w:jc w:val="both"/>
                    <w:rPr>
                      <w:rFonts w:ascii="Arial" w:hAnsi="Arial" w:cs="Arial"/>
                      <w:bCs/>
                    </w:rPr>
                  </w:pPr>
                  <w:r w:rsidRPr="00DE654B">
                    <w:rPr>
                      <w:rFonts w:ascii="Arial" w:hAnsi="Arial" w:cs="Arial"/>
                      <w:bCs/>
                    </w:rPr>
                    <w:t>2021/22</w:t>
                  </w:r>
                </w:p>
              </w:tc>
              <w:tc>
                <w:tcPr>
                  <w:tcW w:w="2126" w:type="dxa"/>
                </w:tcPr>
                <w:p w14:paraId="54578716" w14:textId="2E869158" w:rsidR="00E16A95" w:rsidRPr="00DE654B" w:rsidRDefault="00E16A95" w:rsidP="004371EB">
                  <w:pPr>
                    <w:spacing w:after="0"/>
                    <w:jc w:val="both"/>
                    <w:rPr>
                      <w:rFonts w:ascii="Arial" w:hAnsi="Arial" w:cs="Arial"/>
                      <w:bCs/>
                    </w:rPr>
                  </w:pPr>
                  <w:r w:rsidRPr="00DE654B">
                    <w:rPr>
                      <w:rFonts w:ascii="Arial" w:hAnsi="Arial" w:cs="Arial"/>
                      <w:bCs/>
                    </w:rPr>
                    <w:t>64</w:t>
                  </w:r>
                </w:p>
              </w:tc>
              <w:tc>
                <w:tcPr>
                  <w:tcW w:w="1985" w:type="dxa"/>
                </w:tcPr>
                <w:p w14:paraId="3CE64390" w14:textId="6F2E9221" w:rsidR="00E16A95" w:rsidRPr="00DE654B" w:rsidRDefault="00E16A95" w:rsidP="004371EB">
                  <w:pPr>
                    <w:spacing w:after="0"/>
                    <w:jc w:val="both"/>
                    <w:rPr>
                      <w:rFonts w:ascii="Arial" w:hAnsi="Arial" w:cs="Arial"/>
                      <w:bCs/>
                    </w:rPr>
                  </w:pPr>
                  <w:r w:rsidRPr="00DE654B">
                    <w:rPr>
                      <w:rFonts w:ascii="Arial" w:hAnsi="Arial" w:cs="Arial"/>
                      <w:bCs/>
                    </w:rPr>
                    <w:t>2</w:t>
                  </w:r>
                  <w:r w:rsidR="0059135C" w:rsidRPr="00DE654B">
                    <w:rPr>
                      <w:rFonts w:ascii="Arial" w:hAnsi="Arial" w:cs="Arial"/>
                      <w:bCs/>
                    </w:rPr>
                    <w:t>2</w:t>
                  </w:r>
                </w:p>
              </w:tc>
              <w:tc>
                <w:tcPr>
                  <w:tcW w:w="2853" w:type="dxa"/>
                </w:tcPr>
                <w:p w14:paraId="68BACCB8" w14:textId="52755820" w:rsidR="00E16A95" w:rsidRPr="00DE654B" w:rsidRDefault="001924C3" w:rsidP="004371EB">
                  <w:pPr>
                    <w:spacing w:after="0"/>
                    <w:jc w:val="both"/>
                    <w:rPr>
                      <w:rFonts w:ascii="Arial" w:hAnsi="Arial" w:cs="Arial"/>
                      <w:bCs/>
                    </w:rPr>
                  </w:pPr>
                  <w:r w:rsidRPr="00DE654B">
                    <w:rPr>
                      <w:rFonts w:ascii="Arial" w:hAnsi="Arial" w:cs="Arial"/>
                      <w:bCs/>
                    </w:rPr>
                    <w:t>100%</w:t>
                  </w:r>
                </w:p>
              </w:tc>
            </w:tr>
          </w:tbl>
          <w:p w14:paraId="436D6214" w14:textId="67CFA63C" w:rsidR="00E16A95" w:rsidRPr="00DE654B" w:rsidRDefault="00DE654B" w:rsidP="004371EB">
            <w:pPr>
              <w:spacing w:after="0"/>
              <w:jc w:val="both"/>
              <w:rPr>
                <w:rFonts w:ascii="Arial" w:hAnsi="Arial" w:cs="Arial"/>
                <w:bCs/>
                <w:sz w:val="20"/>
                <w:szCs w:val="20"/>
              </w:rPr>
            </w:pPr>
            <w:r w:rsidRPr="00DE654B">
              <w:rPr>
                <w:rFonts w:ascii="Arial" w:hAnsi="Arial" w:cs="Arial"/>
                <w:bCs/>
                <w:sz w:val="20"/>
                <w:szCs w:val="20"/>
              </w:rPr>
              <w:t>* Environmental Information Regulations</w:t>
            </w:r>
          </w:p>
          <w:p w14:paraId="460BFF53" w14:textId="77777777" w:rsidR="00DE654B" w:rsidRPr="00DE654B" w:rsidRDefault="00DE654B" w:rsidP="004371EB">
            <w:pPr>
              <w:spacing w:after="0"/>
              <w:jc w:val="both"/>
              <w:rPr>
                <w:rFonts w:ascii="Arial" w:hAnsi="Arial" w:cs="Arial"/>
                <w:bCs/>
                <w:sz w:val="20"/>
                <w:szCs w:val="20"/>
                <w:highlight w:val="yellow"/>
              </w:rPr>
            </w:pPr>
          </w:p>
          <w:p w14:paraId="7144B583" w14:textId="78356691" w:rsidR="005D40F6" w:rsidRPr="005D40F6" w:rsidRDefault="005D40F6" w:rsidP="004371EB">
            <w:pPr>
              <w:spacing w:after="0"/>
              <w:jc w:val="both"/>
              <w:rPr>
                <w:rFonts w:ascii="Arial" w:hAnsi="Arial" w:cs="Arial"/>
                <w:bCs/>
                <w:sz w:val="24"/>
                <w:szCs w:val="24"/>
              </w:rPr>
            </w:pPr>
            <w:r w:rsidRPr="005D40F6">
              <w:rPr>
                <w:rFonts w:ascii="Arial" w:hAnsi="Arial" w:cs="Arial"/>
                <w:bCs/>
                <w:sz w:val="24"/>
                <w:szCs w:val="24"/>
              </w:rPr>
              <w:t xml:space="preserve">The number of FOIA requests received has remained consistent over the last 3 years but the number of requests for information held by the OPCC rather than by Gwent Police has increased significantly.  This has resulted in additional work being placed on the Governance Officer to ensure relevant information is gathered, the requests assessed, exemptions </w:t>
            </w:r>
            <w:r w:rsidR="002B4F84" w:rsidRPr="005D40F6">
              <w:rPr>
                <w:rFonts w:ascii="Arial" w:hAnsi="Arial" w:cs="Arial"/>
                <w:bCs/>
                <w:sz w:val="24"/>
                <w:szCs w:val="24"/>
              </w:rPr>
              <w:t>considered,</w:t>
            </w:r>
            <w:r w:rsidRPr="005D40F6">
              <w:rPr>
                <w:rFonts w:ascii="Arial" w:hAnsi="Arial" w:cs="Arial"/>
                <w:bCs/>
                <w:sz w:val="24"/>
                <w:szCs w:val="24"/>
              </w:rPr>
              <w:t xml:space="preserve"> and response drafted.</w:t>
            </w:r>
          </w:p>
          <w:p w14:paraId="5BEB5D01" w14:textId="77777777" w:rsidR="005D40F6" w:rsidRDefault="005D40F6" w:rsidP="004371EB">
            <w:pPr>
              <w:spacing w:after="0"/>
              <w:jc w:val="both"/>
              <w:rPr>
                <w:rFonts w:ascii="Arial" w:hAnsi="Arial" w:cs="Arial"/>
                <w:bCs/>
                <w:sz w:val="24"/>
                <w:szCs w:val="24"/>
                <w:highlight w:val="yellow"/>
              </w:rPr>
            </w:pPr>
          </w:p>
          <w:p w14:paraId="52FCB8E9" w14:textId="69305AE0" w:rsidR="005D40F6" w:rsidRPr="00094D03" w:rsidRDefault="0061291F" w:rsidP="005D40F6">
            <w:pPr>
              <w:spacing w:after="0"/>
              <w:jc w:val="both"/>
              <w:rPr>
                <w:rFonts w:ascii="Arial" w:hAnsi="Arial" w:cs="Arial"/>
                <w:sz w:val="24"/>
                <w:szCs w:val="26"/>
              </w:rPr>
            </w:pPr>
            <w:r w:rsidRPr="0061291F">
              <w:rPr>
                <w:rFonts w:ascii="Arial" w:hAnsi="Arial" w:cs="Arial"/>
                <w:bCs/>
                <w:sz w:val="24"/>
                <w:szCs w:val="24"/>
              </w:rPr>
              <w:t xml:space="preserve">97% of responses were sent within the </w:t>
            </w:r>
            <w:r w:rsidR="00563628">
              <w:rPr>
                <w:rFonts w:ascii="Arial" w:hAnsi="Arial" w:cs="Arial"/>
                <w:bCs/>
                <w:sz w:val="24"/>
                <w:szCs w:val="24"/>
              </w:rPr>
              <w:t xml:space="preserve">statutory </w:t>
            </w:r>
            <w:r w:rsidRPr="0061291F">
              <w:rPr>
                <w:rFonts w:ascii="Arial" w:hAnsi="Arial" w:cs="Arial"/>
                <w:bCs/>
                <w:sz w:val="24"/>
                <w:szCs w:val="24"/>
              </w:rPr>
              <w:t xml:space="preserve">20 working day timeframe.  </w:t>
            </w:r>
            <w:r w:rsidR="005D40F6" w:rsidRPr="0061291F">
              <w:rPr>
                <w:rFonts w:ascii="Arial" w:hAnsi="Arial" w:cs="Arial"/>
                <w:sz w:val="24"/>
                <w:szCs w:val="26"/>
              </w:rPr>
              <w:t>This equates to 1 response</w:t>
            </w:r>
            <w:r w:rsidR="005D40F6" w:rsidRPr="00094D03">
              <w:rPr>
                <w:rFonts w:ascii="Arial" w:hAnsi="Arial" w:cs="Arial"/>
                <w:sz w:val="24"/>
                <w:szCs w:val="26"/>
              </w:rPr>
              <w:t xml:space="preserve"> being sent outside of the </w:t>
            </w:r>
            <w:proofErr w:type="gramStart"/>
            <w:r w:rsidR="005D40F6" w:rsidRPr="00094D03">
              <w:rPr>
                <w:rFonts w:ascii="Arial" w:hAnsi="Arial" w:cs="Arial"/>
                <w:sz w:val="24"/>
                <w:szCs w:val="26"/>
              </w:rPr>
              <w:t>20 working</w:t>
            </w:r>
            <w:proofErr w:type="gramEnd"/>
            <w:r w:rsidR="005D40F6" w:rsidRPr="00094D03">
              <w:rPr>
                <w:rFonts w:ascii="Arial" w:hAnsi="Arial" w:cs="Arial"/>
                <w:sz w:val="24"/>
                <w:szCs w:val="26"/>
              </w:rPr>
              <w:t xml:space="preserve"> day requirement.</w:t>
            </w:r>
            <w:r w:rsidR="002B4F84">
              <w:rPr>
                <w:rFonts w:ascii="Arial" w:hAnsi="Arial" w:cs="Arial"/>
                <w:sz w:val="24"/>
                <w:szCs w:val="26"/>
              </w:rPr>
              <w:t xml:space="preserve">  The delay in response was due to waiting for information from within the OPCC.</w:t>
            </w:r>
            <w:r w:rsidR="005D40F6">
              <w:rPr>
                <w:rFonts w:ascii="Arial" w:hAnsi="Arial" w:cs="Arial"/>
                <w:sz w:val="24"/>
                <w:szCs w:val="26"/>
              </w:rPr>
              <w:t xml:space="preserve">  </w:t>
            </w:r>
          </w:p>
          <w:p w14:paraId="5268198E" w14:textId="77777777" w:rsidR="005D40F6" w:rsidRPr="008D7F22" w:rsidRDefault="005D40F6" w:rsidP="005D40F6">
            <w:pPr>
              <w:spacing w:after="0"/>
              <w:jc w:val="both"/>
              <w:rPr>
                <w:rFonts w:ascii="Arial" w:hAnsi="Arial" w:cs="Arial"/>
                <w:sz w:val="24"/>
                <w:szCs w:val="26"/>
              </w:rPr>
            </w:pPr>
          </w:p>
          <w:p w14:paraId="69BC6586" w14:textId="045D9F36" w:rsidR="005D40F6" w:rsidRDefault="0061291F" w:rsidP="00067819">
            <w:pPr>
              <w:spacing w:after="0"/>
              <w:rPr>
                <w:rFonts w:ascii="Arial" w:hAnsi="Arial" w:cs="Arial"/>
                <w:sz w:val="24"/>
                <w:szCs w:val="26"/>
              </w:rPr>
            </w:pPr>
            <w:r>
              <w:rPr>
                <w:rFonts w:ascii="Arial" w:hAnsi="Arial" w:cs="Arial"/>
                <w:sz w:val="24"/>
                <w:szCs w:val="26"/>
              </w:rPr>
              <w:t>1</w:t>
            </w:r>
            <w:r w:rsidR="005D40F6" w:rsidRPr="008D7F22">
              <w:rPr>
                <w:rFonts w:ascii="Arial" w:hAnsi="Arial" w:cs="Arial"/>
                <w:sz w:val="24"/>
                <w:szCs w:val="26"/>
              </w:rPr>
              <w:t xml:space="preserve"> request for </w:t>
            </w:r>
            <w:r w:rsidR="005D40F6">
              <w:rPr>
                <w:rFonts w:ascii="Arial" w:hAnsi="Arial" w:cs="Arial"/>
                <w:sz w:val="24"/>
                <w:szCs w:val="26"/>
              </w:rPr>
              <w:t>a</w:t>
            </w:r>
            <w:r>
              <w:rPr>
                <w:rFonts w:ascii="Arial" w:hAnsi="Arial" w:cs="Arial"/>
                <w:sz w:val="24"/>
                <w:szCs w:val="26"/>
              </w:rPr>
              <w:t>n internal</w:t>
            </w:r>
            <w:r w:rsidR="005D40F6">
              <w:rPr>
                <w:rFonts w:ascii="Arial" w:hAnsi="Arial" w:cs="Arial"/>
                <w:sz w:val="24"/>
                <w:szCs w:val="26"/>
              </w:rPr>
              <w:t xml:space="preserve"> review</w:t>
            </w:r>
            <w:r>
              <w:rPr>
                <w:rFonts w:ascii="Arial" w:hAnsi="Arial" w:cs="Arial"/>
                <w:sz w:val="24"/>
                <w:szCs w:val="26"/>
              </w:rPr>
              <w:t xml:space="preserve"> was</w:t>
            </w:r>
            <w:r w:rsidR="005D40F6" w:rsidRPr="008D7F22">
              <w:rPr>
                <w:rFonts w:ascii="Arial" w:hAnsi="Arial" w:cs="Arial"/>
                <w:sz w:val="24"/>
                <w:szCs w:val="26"/>
              </w:rPr>
              <w:t xml:space="preserve"> received by the OPCC.</w:t>
            </w:r>
            <w:r>
              <w:rPr>
                <w:rFonts w:ascii="Arial" w:hAnsi="Arial" w:cs="Arial"/>
                <w:sz w:val="24"/>
                <w:szCs w:val="26"/>
              </w:rPr>
              <w:t xml:space="preserve">  Clarification was sought from the </w:t>
            </w:r>
            <w:proofErr w:type="gramStart"/>
            <w:r>
              <w:rPr>
                <w:rFonts w:ascii="Arial" w:hAnsi="Arial" w:cs="Arial"/>
                <w:sz w:val="24"/>
                <w:szCs w:val="26"/>
              </w:rPr>
              <w:t>requester</w:t>
            </w:r>
            <w:proofErr w:type="gramEnd"/>
            <w:r>
              <w:rPr>
                <w:rFonts w:ascii="Arial" w:hAnsi="Arial" w:cs="Arial"/>
                <w:sz w:val="24"/>
                <w:szCs w:val="26"/>
              </w:rPr>
              <w:t xml:space="preserve"> but no response was received.  The request was subsequently closed after 40 working days.</w:t>
            </w:r>
            <w:r w:rsidR="00067819">
              <w:rPr>
                <w:rFonts w:ascii="Arial" w:hAnsi="Arial" w:cs="Arial"/>
                <w:sz w:val="24"/>
                <w:szCs w:val="26"/>
              </w:rPr>
              <w:t xml:space="preserve">  </w:t>
            </w:r>
          </w:p>
          <w:p w14:paraId="353A79AB" w14:textId="77777777" w:rsidR="00067819" w:rsidRPr="008D7F22" w:rsidRDefault="00067819" w:rsidP="00067819">
            <w:pPr>
              <w:spacing w:after="0"/>
              <w:rPr>
                <w:rFonts w:ascii="Arial" w:hAnsi="Arial" w:cs="Arial"/>
                <w:sz w:val="24"/>
                <w:szCs w:val="26"/>
                <w:u w:val="single"/>
              </w:rPr>
            </w:pPr>
          </w:p>
          <w:p w14:paraId="0698FC19" w14:textId="18D40FA4" w:rsidR="005D40F6" w:rsidRPr="008D7F22" w:rsidRDefault="005D40F6" w:rsidP="005D40F6">
            <w:pPr>
              <w:spacing w:after="0"/>
              <w:rPr>
                <w:rFonts w:ascii="Arial" w:hAnsi="Arial" w:cs="Arial"/>
                <w:sz w:val="24"/>
                <w:szCs w:val="26"/>
              </w:rPr>
            </w:pPr>
            <w:r w:rsidRPr="008D7F22">
              <w:rPr>
                <w:rFonts w:ascii="Arial" w:hAnsi="Arial" w:cs="Arial"/>
                <w:sz w:val="24"/>
                <w:szCs w:val="26"/>
              </w:rPr>
              <w:t xml:space="preserve">After the internal appeals process has been exhausted and if the requester is still </w:t>
            </w:r>
            <w:r>
              <w:rPr>
                <w:rFonts w:ascii="Arial" w:hAnsi="Arial" w:cs="Arial"/>
                <w:sz w:val="24"/>
                <w:szCs w:val="26"/>
              </w:rPr>
              <w:t>dissatisfied</w:t>
            </w:r>
            <w:r w:rsidRPr="008D7F22">
              <w:rPr>
                <w:rFonts w:ascii="Arial" w:hAnsi="Arial" w:cs="Arial"/>
                <w:sz w:val="24"/>
                <w:szCs w:val="26"/>
              </w:rPr>
              <w:t xml:space="preserve"> with the response provided by the OPCC, they have a right of appeal to the I</w:t>
            </w:r>
            <w:r w:rsidR="00067819">
              <w:rPr>
                <w:rFonts w:ascii="Arial" w:hAnsi="Arial" w:cs="Arial"/>
                <w:sz w:val="24"/>
                <w:szCs w:val="26"/>
              </w:rPr>
              <w:t xml:space="preserve">nformation </w:t>
            </w:r>
            <w:r w:rsidRPr="008D7F22">
              <w:rPr>
                <w:rFonts w:ascii="Arial" w:hAnsi="Arial" w:cs="Arial"/>
                <w:sz w:val="24"/>
                <w:szCs w:val="26"/>
              </w:rPr>
              <w:t>C</w:t>
            </w:r>
            <w:r w:rsidR="00067819">
              <w:rPr>
                <w:rFonts w:ascii="Arial" w:hAnsi="Arial" w:cs="Arial"/>
                <w:sz w:val="24"/>
                <w:szCs w:val="26"/>
              </w:rPr>
              <w:t>ommissioner</w:t>
            </w:r>
            <w:r w:rsidR="00563628">
              <w:rPr>
                <w:rFonts w:ascii="Arial" w:hAnsi="Arial" w:cs="Arial"/>
                <w:sz w:val="24"/>
                <w:szCs w:val="26"/>
              </w:rPr>
              <w:t>’</w:t>
            </w:r>
            <w:r w:rsidR="00067819">
              <w:rPr>
                <w:rFonts w:ascii="Arial" w:hAnsi="Arial" w:cs="Arial"/>
                <w:sz w:val="24"/>
                <w:szCs w:val="26"/>
              </w:rPr>
              <w:t xml:space="preserve">s </w:t>
            </w:r>
            <w:r w:rsidRPr="008D7F22">
              <w:rPr>
                <w:rFonts w:ascii="Arial" w:hAnsi="Arial" w:cs="Arial"/>
                <w:sz w:val="24"/>
                <w:szCs w:val="26"/>
              </w:rPr>
              <w:t>O</w:t>
            </w:r>
            <w:r w:rsidR="00067819">
              <w:rPr>
                <w:rFonts w:ascii="Arial" w:hAnsi="Arial" w:cs="Arial"/>
                <w:sz w:val="24"/>
                <w:szCs w:val="26"/>
              </w:rPr>
              <w:t>ffice (ICO)</w:t>
            </w:r>
            <w:r w:rsidRPr="008D7F22">
              <w:rPr>
                <w:rFonts w:ascii="Arial" w:hAnsi="Arial" w:cs="Arial"/>
                <w:sz w:val="24"/>
                <w:szCs w:val="26"/>
              </w:rPr>
              <w:t xml:space="preserve">.  The public are also able to contact the ICO in other instances such as if the 20 working </w:t>
            </w:r>
            <w:proofErr w:type="gramStart"/>
            <w:r w:rsidRPr="008D7F22">
              <w:rPr>
                <w:rFonts w:ascii="Arial" w:hAnsi="Arial" w:cs="Arial"/>
                <w:sz w:val="24"/>
                <w:szCs w:val="26"/>
              </w:rPr>
              <w:t>day time</w:t>
            </w:r>
            <w:proofErr w:type="gramEnd"/>
            <w:r w:rsidRPr="008D7F22">
              <w:rPr>
                <w:rFonts w:ascii="Arial" w:hAnsi="Arial" w:cs="Arial"/>
                <w:sz w:val="24"/>
                <w:szCs w:val="26"/>
              </w:rPr>
              <w:t xml:space="preserve"> limit is not being met.</w:t>
            </w:r>
            <w:r w:rsidR="00067819">
              <w:rPr>
                <w:rFonts w:ascii="Arial" w:hAnsi="Arial" w:cs="Arial"/>
                <w:sz w:val="24"/>
                <w:szCs w:val="26"/>
              </w:rPr>
              <w:t xml:space="preserve">  </w:t>
            </w:r>
            <w:r w:rsidRPr="008D7F22">
              <w:rPr>
                <w:rFonts w:ascii="Arial" w:hAnsi="Arial" w:cs="Arial"/>
                <w:sz w:val="24"/>
                <w:szCs w:val="26"/>
              </w:rPr>
              <w:t>No contact was received from the ICO during 202</w:t>
            </w:r>
            <w:r w:rsidR="00067819">
              <w:rPr>
                <w:rFonts w:ascii="Arial" w:hAnsi="Arial" w:cs="Arial"/>
                <w:sz w:val="24"/>
                <w:szCs w:val="26"/>
              </w:rPr>
              <w:t>4</w:t>
            </w:r>
            <w:r w:rsidRPr="008D7F22">
              <w:rPr>
                <w:rFonts w:ascii="Arial" w:hAnsi="Arial" w:cs="Arial"/>
                <w:sz w:val="24"/>
                <w:szCs w:val="26"/>
              </w:rPr>
              <w:t>/2</w:t>
            </w:r>
            <w:r w:rsidR="00067819">
              <w:rPr>
                <w:rFonts w:ascii="Arial" w:hAnsi="Arial" w:cs="Arial"/>
                <w:sz w:val="24"/>
                <w:szCs w:val="26"/>
              </w:rPr>
              <w:t>5</w:t>
            </w:r>
            <w:r w:rsidRPr="008D7F22">
              <w:rPr>
                <w:rFonts w:ascii="Arial" w:hAnsi="Arial" w:cs="Arial"/>
                <w:sz w:val="24"/>
                <w:szCs w:val="26"/>
              </w:rPr>
              <w:t>.</w:t>
            </w:r>
          </w:p>
          <w:p w14:paraId="58516778" w14:textId="77777777" w:rsidR="005D40F6" w:rsidRDefault="005D40F6" w:rsidP="004371EB">
            <w:pPr>
              <w:spacing w:after="0"/>
              <w:jc w:val="both"/>
              <w:rPr>
                <w:rFonts w:ascii="Arial" w:hAnsi="Arial" w:cs="Arial"/>
                <w:bCs/>
                <w:sz w:val="24"/>
                <w:szCs w:val="24"/>
                <w:highlight w:val="yellow"/>
              </w:rPr>
            </w:pPr>
          </w:p>
          <w:p w14:paraId="23F3E0CA" w14:textId="57930AFF" w:rsidR="002B4F84" w:rsidRDefault="002B4F84" w:rsidP="002B4F84">
            <w:pPr>
              <w:spacing w:after="0"/>
              <w:jc w:val="both"/>
              <w:rPr>
                <w:rFonts w:ascii="Arial" w:hAnsi="Arial" w:cs="Arial"/>
                <w:sz w:val="24"/>
                <w:szCs w:val="26"/>
              </w:rPr>
            </w:pPr>
            <w:r w:rsidRPr="00094D03">
              <w:rPr>
                <w:rFonts w:ascii="Arial" w:hAnsi="Arial" w:cs="Arial"/>
                <w:sz w:val="24"/>
                <w:szCs w:val="26"/>
              </w:rPr>
              <w:t>The commissioning</w:t>
            </w:r>
            <w:r w:rsidR="00107A42">
              <w:rPr>
                <w:rFonts w:ascii="Arial" w:hAnsi="Arial" w:cs="Arial"/>
                <w:sz w:val="24"/>
                <w:szCs w:val="26"/>
              </w:rPr>
              <w:t xml:space="preserve"> and funding work of the OPCC is the most popular area for requests to be made for information with OPCC staffing queries/costs and estates information also of interest to the public.</w:t>
            </w:r>
          </w:p>
          <w:p w14:paraId="239FA999" w14:textId="77777777" w:rsidR="00B416FC" w:rsidRPr="00094D03" w:rsidRDefault="00B416FC" w:rsidP="002B4F84">
            <w:pPr>
              <w:spacing w:after="0"/>
              <w:jc w:val="both"/>
              <w:rPr>
                <w:rFonts w:ascii="Arial" w:hAnsi="Arial" w:cs="Arial"/>
                <w:sz w:val="24"/>
                <w:szCs w:val="24"/>
              </w:rPr>
            </w:pPr>
          </w:p>
          <w:p w14:paraId="5A8F6539" w14:textId="2FCEC13C" w:rsidR="002B4F84" w:rsidRPr="004D2704" w:rsidRDefault="005D40F6" w:rsidP="00107A42">
            <w:pPr>
              <w:spacing w:after="0"/>
              <w:jc w:val="both"/>
              <w:rPr>
                <w:rFonts w:ascii="Arial" w:hAnsi="Arial" w:cs="Arial"/>
                <w:sz w:val="24"/>
                <w:szCs w:val="26"/>
              </w:rPr>
            </w:pPr>
            <w:r w:rsidRPr="006302CA">
              <w:rPr>
                <w:rFonts w:ascii="Arial" w:hAnsi="Arial" w:cs="Arial"/>
                <w:sz w:val="24"/>
                <w:szCs w:val="24"/>
              </w:rPr>
              <w:lastRenderedPageBreak/>
              <w:t>Under the FOIA, public authorities are obliged to publish certain information about their activities, this is referred to as a Publication Scheme.</w:t>
            </w:r>
            <w:r w:rsidR="00107A42">
              <w:rPr>
                <w:rFonts w:ascii="Arial" w:hAnsi="Arial" w:cs="Arial"/>
                <w:sz w:val="24"/>
                <w:szCs w:val="24"/>
              </w:rPr>
              <w:t xml:space="preserve"> </w:t>
            </w:r>
            <w:r w:rsidR="00A903BF">
              <w:rPr>
                <w:rFonts w:ascii="Arial" w:hAnsi="Arial" w:cs="Arial"/>
                <w:sz w:val="24"/>
                <w:szCs w:val="24"/>
              </w:rPr>
              <w:t xml:space="preserve"> This information is available on the OPCC website. </w:t>
            </w:r>
            <w:r w:rsidR="00107A42">
              <w:rPr>
                <w:rFonts w:ascii="Arial" w:hAnsi="Arial" w:cs="Arial"/>
                <w:sz w:val="24"/>
                <w:szCs w:val="24"/>
              </w:rPr>
              <w:t xml:space="preserve"> </w:t>
            </w:r>
            <w:r w:rsidR="00107A42">
              <w:rPr>
                <w:rFonts w:ascii="Arial" w:hAnsi="Arial" w:cs="Arial"/>
                <w:sz w:val="24"/>
                <w:szCs w:val="26"/>
              </w:rPr>
              <w:t>An action plan was developed</w:t>
            </w:r>
            <w:r w:rsidR="00A903BF">
              <w:rPr>
                <w:rFonts w:ascii="Arial" w:hAnsi="Arial" w:cs="Arial"/>
                <w:sz w:val="24"/>
                <w:szCs w:val="26"/>
              </w:rPr>
              <w:t xml:space="preserve"> to ensure that it is kept up to date</w:t>
            </w:r>
            <w:r w:rsidR="00107A42">
              <w:rPr>
                <w:rFonts w:ascii="Arial" w:hAnsi="Arial" w:cs="Arial"/>
                <w:sz w:val="24"/>
                <w:szCs w:val="26"/>
              </w:rPr>
              <w:t xml:space="preserve"> and </w:t>
            </w:r>
            <w:r w:rsidR="00A903BF">
              <w:rPr>
                <w:rFonts w:ascii="Arial" w:hAnsi="Arial" w:cs="Arial"/>
                <w:sz w:val="24"/>
                <w:szCs w:val="26"/>
              </w:rPr>
              <w:t xml:space="preserve">this </w:t>
            </w:r>
            <w:r w:rsidR="00107A42">
              <w:rPr>
                <w:rFonts w:ascii="Arial" w:hAnsi="Arial" w:cs="Arial"/>
                <w:sz w:val="24"/>
                <w:szCs w:val="26"/>
              </w:rPr>
              <w:t>is monitored via the</w:t>
            </w:r>
            <w:r w:rsidR="002B4F84" w:rsidRPr="004D2704">
              <w:rPr>
                <w:rFonts w:ascii="Arial" w:hAnsi="Arial" w:cs="Arial"/>
                <w:sz w:val="24"/>
                <w:szCs w:val="26"/>
              </w:rPr>
              <w:t xml:space="preserve"> Planning and Performance Meeting</w:t>
            </w:r>
            <w:r w:rsidR="00107A42">
              <w:rPr>
                <w:rFonts w:ascii="Arial" w:hAnsi="Arial" w:cs="Arial"/>
                <w:sz w:val="24"/>
                <w:szCs w:val="26"/>
              </w:rPr>
              <w:t xml:space="preserve">.  A further review will take place during </w:t>
            </w:r>
            <w:proofErr w:type="gramStart"/>
            <w:r w:rsidR="00107A42">
              <w:rPr>
                <w:rFonts w:ascii="Arial" w:hAnsi="Arial" w:cs="Arial"/>
                <w:sz w:val="24"/>
                <w:szCs w:val="26"/>
              </w:rPr>
              <w:t>2025/26</w:t>
            </w:r>
            <w:proofErr w:type="gramEnd"/>
            <w:r w:rsidR="00107A42">
              <w:rPr>
                <w:rFonts w:ascii="Arial" w:hAnsi="Arial" w:cs="Arial"/>
                <w:sz w:val="24"/>
                <w:szCs w:val="26"/>
              </w:rPr>
              <w:t xml:space="preserve"> and the action plan updated to ensure continued compliance.</w:t>
            </w:r>
          </w:p>
          <w:p w14:paraId="1AE59D3E" w14:textId="77777777" w:rsidR="00E16A95" w:rsidRPr="00F0225D" w:rsidRDefault="00E16A95" w:rsidP="004371EB">
            <w:pPr>
              <w:spacing w:after="0"/>
              <w:jc w:val="both"/>
              <w:rPr>
                <w:rFonts w:ascii="Arial" w:hAnsi="Arial" w:cs="Arial"/>
                <w:bCs/>
                <w:sz w:val="24"/>
                <w:szCs w:val="24"/>
                <w:highlight w:val="yellow"/>
              </w:rPr>
            </w:pPr>
          </w:p>
          <w:p w14:paraId="3D6A3084" w14:textId="77777777" w:rsidR="009624AE" w:rsidRPr="00AD2496" w:rsidRDefault="009624AE" w:rsidP="009624AE">
            <w:pPr>
              <w:spacing w:after="0"/>
              <w:jc w:val="both"/>
              <w:rPr>
                <w:rFonts w:ascii="Arial" w:hAnsi="Arial" w:cs="Arial"/>
                <w:b/>
                <w:sz w:val="24"/>
                <w:szCs w:val="24"/>
              </w:rPr>
            </w:pPr>
            <w:r w:rsidRPr="00AD2496">
              <w:rPr>
                <w:rFonts w:ascii="Arial" w:hAnsi="Arial" w:cs="Arial"/>
                <w:b/>
                <w:sz w:val="24"/>
                <w:szCs w:val="24"/>
              </w:rPr>
              <w:t>Annual Training</w:t>
            </w:r>
          </w:p>
          <w:p w14:paraId="2DD3FBFD" w14:textId="02A747D9" w:rsidR="009624AE" w:rsidRPr="00AD2496" w:rsidRDefault="009624AE" w:rsidP="009624AE">
            <w:pPr>
              <w:spacing w:after="0"/>
              <w:jc w:val="both"/>
              <w:rPr>
                <w:rFonts w:ascii="Arial" w:hAnsi="Arial" w:cs="Arial"/>
                <w:bCs/>
                <w:sz w:val="24"/>
                <w:szCs w:val="24"/>
              </w:rPr>
            </w:pPr>
            <w:r w:rsidRPr="00AD2496">
              <w:rPr>
                <w:rFonts w:ascii="Arial" w:hAnsi="Arial" w:cs="Arial"/>
                <w:bCs/>
                <w:sz w:val="24"/>
                <w:szCs w:val="24"/>
              </w:rPr>
              <w:t xml:space="preserve">Annual refresher training was </w:t>
            </w:r>
            <w:r w:rsidR="00AD2496" w:rsidRPr="00AD2496">
              <w:rPr>
                <w:rFonts w:ascii="Arial" w:hAnsi="Arial" w:cs="Arial"/>
                <w:bCs/>
                <w:sz w:val="24"/>
                <w:szCs w:val="24"/>
              </w:rPr>
              <w:t>provided online by PDP</w:t>
            </w:r>
            <w:r w:rsidR="00A903BF">
              <w:rPr>
                <w:rFonts w:ascii="Arial" w:hAnsi="Arial" w:cs="Arial"/>
                <w:bCs/>
                <w:sz w:val="24"/>
                <w:szCs w:val="24"/>
              </w:rPr>
              <w:t xml:space="preserve"> an external training organisation</w:t>
            </w:r>
            <w:r w:rsidR="00AD2496" w:rsidRPr="00AD2496">
              <w:rPr>
                <w:rFonts w:ascii="Arial" w:hAnsi="Arial" w:cs="Arial"/>
                <w:bCs/>
                <w:sz w:val="24"/>
                <w:szCs w:val="24"/>
              </w:rPr>
              <w:t>.  All staff were requested to complete the training</w:t>
            </w:r>
            <w:r w:rsidRPr="00AD2496">
              <w:rPr>
                <w:rFonts w:ascii="Arial" w:hAnsi="Arial" w:cs="Arial"/>
                <w:bCs/>
                <w:sz w:val="24"/>
                <w:szCs w:val="24"/>
              </w:rPr>
              <w:t xml:space="preserve"> during 2024/25.</w:t>
            </w:r>
          </w:p>
          <w:p w14:paraId="5B8A7ED4" w14:textId="77777777" w:rsidR="009624AE" w:rsidRPr="00F0225D" w:rsidRDefault="009624AE" w:rsidP="00350BA4">
            <w:pPr>
              <w:spacing w:after="0"/>
              <w:jc w:val="both"/>
              <w:rPr>
                <w:rFonts w:ascii="Arial" w:hAnsi="Arial" w:cs="Arial"/>
                <w:bCs/>
                <w:sz w:val="24"/>
                <w:szCs w:val="24"/>
                <w:highlight w:val="yellow"/>
              </w:rPr>
            </w:pPr>
          </w:p>
          <w:p w14:paraId="7BB38D8B" w14:textId="73C5DE6A" w:rsidR="00350BA4" w:rsidRPr="00AD2496" w:rsidRDefault="009624AE" w:rsidP="00350BA4">
            <w:pPr>
              <w:spacing w:after="0"/>
              <w:jc w:val="both"/>
              <w:rPr>
                <w:rFonts w:ascii="Arial" w:hAnsi="Arial" w:cs="Arial"/>
                <w:b/>
                <w:sz w:val="24"/>
                <w:szCs w:val="24"/>
              </w:rPr>
            </w:pPr>
            <w:r w:rsidRPr="00AD2496">
              <w:rPr>
                <w:rFonts w:ascii="Arial" w:hAnsi="Arial" w:cs="Arial"/>
                <w:b/>
                <w:sz w:val="24"/>
                <w:szCs w:val="24"/>
              </w:rPr>
              <w:t xml:space="preserve">Role Specific </w:t>
            </w:r>
            <w:r w:rsidR="00350BA4" w:rsidRPr="00AD2496">
              <w:rPr>
                <w:rFonts w:ascii="Arial" w:hAnsi="Arial" w:cs="Arial"/>
                <w:b/>
                <w:sz w:val="24"/>
                <w:szCs w:val="24"/>
              </w:rPr>
              <w:t>Training</w:t>
            </w:r>
          </w:p>
          <w:p w14:paraId="6E8D65F5" w14:textId="5BAABFE6" w:rsidR="00350BA4" w:rsidRPr="00AD2496" w:rsidRDefault="00AD2496" w:rsidP="00350BA4">
            <w:pPr>
              <w:spacing w:after="0"/>
              <w:jc w:val="both"/>
              <w:rPr>
                <w:rFonts w:ascii="Arial" w:hAnsi="Arial" w:cs="Arial"/>
                <w:bCs/>
                <w:sz w:val="24"/>
                <w:szCs w:val="24"/>
              </w:rPr>
            </w:pPr>
            <w:r w:rsidRPr="00AD2496">
              <w:rPr>
                <w:rFonts w:ascii="Arial" w:hAnsi="Arial" w:cs="Arial"/>
                <w:bCs/>
                <w:sz w:val="24"/>
                <w:szCs w:val="24"/>
              </w:rPr>
              <w:t>Training was undertaken by the Governance Officer on</w:t>
            </w:r>
            <w:r w:rsidR="00350BA4" w:rsidRPr="00AD2496">
              <w:rPr>
                <w:rFonts w:ascii="Arial" w:hAnsi="Arial" w:cs="Arial"/>
                <w:bCs/>
                <w:sz w:val="24"/>
                <w:szCs w:val="24"/>
              </w:rPr>
              <w:t xml:space="preserve"> data mapping and the development of information asset registers.  </w:t>
            </w:r>
            <w:r w:rsidRPr="00AD2496">
              <w:rPr>
                <w:rFonts w:ascii="Arial" w:hAnsi="Arial" w:cs="Arial"/>
                <w:bCs/>
                <w:sz w:val="24"/>
                <w:szCs w:val="24"/>
              </w:rPr>
              <w:t xml:space="preserve">This training and an initial review of the work required to complete these actions by the OPCC indicated that additional support and guidance would be required.  These areas were marked as such on the data protection action plan and will be progressed </w:t>
            </w:r>
            <w:proofErr w:type="gramStart"/>
            <w:r w:rsidRPr="00AD2496">
              <w:rPr>
                <w:rFonts w:ascii="Arial" w:hAnsi="Arial" w:cs="Arial"/>
                <w:bCs/>
                <w:sz w:val="24"/>
                <w:szCs w:val="24"/>
              </w:rPr>
              <w:t>at a later date</w:t>
            </w:r>
            <w:proofErr w:type="gramEnd"/>
            <w:r w:rsidRPr="00AD2496">
              <w:rPr>
                <w:rFonts w:ascii="Arial" w:hAnsi="Arial" w:cs="Arial"/>
                <w:bCs/>
                <w:sz w:val="24"/>
                <w:szCs w:val="24"/>
              </w:rPr>
              <w:t>.</w:t>
            </w:r>
          </w:p>
          <w:p w14:paraId="29C61729" w14:textId="77777777" w:rsidR="00A22A95" w:rsidRDefault="00A22A95" w:rsidP="00350BA4">
            <w:pPr>
              <w:spacing w:after="0"/>
              <w:jc w:val="both"/>
              <w:rPr>
                <w:rFonts w:ascii="Arial" w:hAnsi="Arial" w:cs="Arial"/>
                <w:bCs/>
                <w:sz w:val="24"/>
                <w:szCs w:val="24"/>
                <w:highlight w:val="yellow"/>
              </w:rPr>
            </w:pPr>
          </w:p>
          <w:p w14:paraId="770CD58D" w14:textId="5A562E7E" w:rsidR="00A22A95" w:rsidRPr="0063754E" w:rsidRDefault="0063754E" w:rsidP="00350BA4">
            <w:pPr>
              <w:spacing w:after="0"/>
              <w:jc w:val="both"/>
              <w:rPr>
                <w:rFonts w:ascii="Arial" w:hAnsi="Arial" w:cs="Arial"/>
                <w:b/>
                <w:sz w:val="24"/>
                <w:szCs w:val="24"/>
              </w:rPr>
            </w:pPr>
            <w:r w:rsidRPr="0063754E">
              <w:rPr>
                <w:rFonts w:ascii="Arial" w:hAnsi="Arial" w:cs="Arial"/>
                <w:b/>
                <w:sz w:val="24"/>
                <w:szCs w:val="24"/>
              </w:rPr>
              <w:t>Assistance Provided to Dyfed Powys OPCC</w:t>
            </w:r>
          </w:p>
          <w:p w14:paraId="2DFF4F1D" w14:textId="71F4CD99" w:rsidR="004369EF" w:rsidRPr="0063754E" w:rsidRDefault="0063754E" w:rsidP="004371EB">
            <w:pPr>
              <w:spacing w:after="0"/>
              <w:jc w:val="both"/>
              <w:rPr>
                <w:rFonts w:ascii="Arial" w:hAnsi="Arial" w:cs="Arial"/>
                <w:bCs/>
                <w:sz w:val="24"/>
                <w:szCs w:val="24"/>
              </w:rPr>
            </w:pPr>
            <w:r w:rsidRPr="0063754E">
              <w:rPr>
                <w:rFonts w:ascii="Arial" w:hAnsi="Arial" w:cs="Arial"/>
                <w:bCs/>
                <w:sz w:val="24"/>
                <w:szCs w:val="24"/>
              </w:rPr>
              <w:t>Discussions took place in October 2024 to support Dyfed Powys OPCC in determining what policies and information they needed to have</w:t>
            </w:r>
            <w:r w:rsidR="00D049BA">
              <w:rPr>
                <w:rFonts w:ascii="Arial" w:hAnsi="Arial" w:cs="Arial"/>
                <w:bCs/>
                <w:sz w:val="24"/>
                <w:szCs w:val="24"/>
              </w:rPr>
              <w:t xml:space="preserve"> in place</w:t>
            </w:r>
            <w:r w:rsidRPr="0063754E">
              <w:rPr>
                <w:rFonts w:ascii="Arial" w:hAnsi="Arial" w:cs="Arial"/>
                <w:bCs/>
                <w:sz w:val="24"/>
                <w:szCs w:val="24"/>
              </w:rPr>
              <w:t xml:space="preserve">.  All relevant documentation developed by the DPO was shared along with the action plan of outstanding areas of work. </w:t>
            </w:r>
          </w:p>
          <w:p w14:paraId="0C9733FE" w14:textId="77777777" w:rsidR="0063754E" w:rsidRPr="00F0225D" w:rsidRDefault="0063754E" w:rsidP="004371EB">
            <w:pPr>
              <w:spacing w:after="0"/>
              <w:jc w:val="both"/>
              <w:rPr>
                <w:rFonts w:ascii="Arial" w:hAnsi="Arial" w:cs="Arial"/>
                <w:bCs/>
                <w:sz w:val="24"/>
                <w:szCs w:val="24"/>
                <w:highlight w:val="yellow"/>
              </w:rPr>
            </w:pPr>
          </w:p>
          <w:p w14:paraId="0D69F52D" w14:textId="362A07D7" w:rsidR="0020118A" w:rsidRPr="0063754E" w:rsidRDefault="0020118A" w:rsidP="004371EB">
            <w:pPr>
              <w:spacing w:after="0"/>
              <w:jc w:val="both"/>
              <w:rPr>
                <w:rFonts w:ascii="Arial" w:hAnsi="Arial" w:cs="Arial"/>
                <w:b/>
                <w:sz w:val="24"/>
                <w:szCs w:val="24"/>
              </w:rPr>
            </w:pPr>
            <w:r w:rsidRPr="0063754E">
              <w:rPr>
                <w:rFonts w:ascii="Arial" w:hAnsi="Arial" w:cs="Arial"/>
                <w:b/>
                <w:sz w:val="24"/>
                <w:szCs w:val="24"/>
              </w:rPr>
              <w:t>Records Management</w:t>
            </w:r>
          </w:p>
          <w:p w14:paraId="7F037E6D" w14:textId="3F33D372" w:rsidR="00750859" w:rsidRPr="0063754E" w:rsidRDefault="00A50B22" w:rsidP="004371EB">
            <w:pPr>
              <w:spacing w:after="0"/>
              <w:jc w:val="both"/>
              <w:rPr>
                <w:rFonts w:ascii="Arial" w:hAnsi="Arial" w:cs="Arial"/>
                <w:color w:val="29292A"/>
                <w:sz w:val="24"/>
                <w:szCs w:val="24"/>
                <w:shd w:val="clear" w:color="auto" w:fill="FFFFFF"/>
              </w:rPr>
            </w:pPr>
            <w:r w:rsidRPr="0063754E">
              <w:rPr>
                <w:rFonts w:ascii="Arial" w:hAnsi="Arial" w:cs="Arial"/>
                <w:color w:val="29292A"/>
                <w:sz w:val="24"/>
                <w:szCs w:val="24"/>
                <w:shd w:val="clear" w:color="auto" w:fill="FFFFFF"/>
              </w:rPr>
              <w:t>Records Management ensures that official records of vital historical, financial, and legal value are identified and preserved, and that non-essential records are discarded in a timely manner according to established guidelines and identified legislation.  Good records management also ensures that the OPCC can comply with the Freedom of Information Act (FOIA)</w:t>
            </w:r>
            <w:r w:rsidR="009C6621" w:rsidRPr="0063754E">
              <w:rPr>
                <w:rFonts w:ascii="Arial" w:hAnsi="Arial" w:cs="Arial"/>
                <w:color w:val="29292A"/>
                <w:sz w:val="24"/>
                <w:szCs w:val="24"/>
                <w:shd w:val="clear" w:color="auto" w:fill="FFFFFF"/>
              </w:rPr>
              <w:t xml:space="preserve"> and</w:t>
            </w:r>
            <w:r w:rsidRPr="0063754E">
              <w:rPr>
                <w:rFonts w:ascii="Arial" w:hAnsi="Arial" w:cs="Arial"/>
                <w:color w:val="29292A"/>
                <w:sz w:val="24"/>
                <w:szCs w:val="24"/>
                <w:shd w:val="clear" w:color="auto" w:fill="FFFFFF"/>
              </w:rPr>
              <w:t xml:space="preserve"> DPA</w:t>
            </w:r>
            <w:r w:rsidR="00AC09AC" w:rsidRPr="0063754E">
              <w:rPr>
                <w:rFonts w:ascii="Arial" w:hAnsi="Arial" w:cs="Arial"/>
                <w:color w:val="29292A"/>
                <w:sz w:val="24"/>
                <w:szCs w:val="24"/>
                <w:shd w:val="clear" w:color="auto" w:fill="FFFFFF"/>
              </w:rPr>
              <w:t xml:space="preserve"> as well as</w:t>
            </w:r>
            <w:r w:rsidRPr="0063754E">
              <w:rPr>
                <w:rFonts w:ascii="Arial" w:hAnsi="Arial" w:cs="Arial"/>
                <w:color w:val="29292A"/>
                <w:sz w:val="24"/>
                <w:szCs w:val="24"/>
                <w:shd w:val="clear" w:color="auto" w:fill="FFFFFF"/>
              </w:rPr>
              <w:t xml:space="preserve"> requests from other regulatory bodies and auditors.  Poor records management can lead to poor decisions being made based on inadequate or incomplete information, reputational damage, failure to handle confidential information with the required level of security and </w:t>
            </w:r>
            <w:r w:rsidR="00AC09AC" w:rsidRPr="0063754E">
              <w:rPr>
                <w:rFonts w:ascii="Arial" w:hAnsi="Arial" w:cs="Arial"/>
                <w:color w:val="29292A"/>
                <w:sz w:val="24"/>
                <w:szCs w:val="24"/>
                <w:shd w:val="clear" w:color="auto" w:fill="FFFFFF"/>
              </w:rPr>
              <w:t xml:space="preserve">unnecessary </w:t>
            </w:r>
            <w:r w:rsidRPr="0063754E">
              <w:rPr>
                <w:rFonts w:ascii="Arial" w:hAnsi="Arial" w:cs="Arial"/>
                <w:color w:val="29292A"/>
                <w:sz w:val="24"/>
                <w:szCs w:val="24"/>
                <w:shd w:val="clear" w:color="auto" w:fill="FFFFFF"/>
              </w:rPr>
              <w:t>costs being incurred due to records being kept for longer than needed.</w:t>
            </w:r>
          </w:p>
          <w:p w14:paraId="4243A05E" w14:textId="77777777" w:rsidR="004369EF" w:rsidRPr="0063754E" w:rsidRDefault="004369EF" w:rsidP="004371EB">
            <w:pPr>
              <w:spacing w:after="0"/>
              <w:jc w:val="both"/>
              <w:rPr>
                <w:rFonts w:ascii="Arial" w:hAnsi="Arial" w:cs="Arial"/>
                <w:bCs/>
                <w:sz w:val="28"/>
                <w:szCs w:val="28"/>
              </w:rPr>
            </w:pPr>
          </w:p>
          <w:p w14:paraId="2C018D51" w14:textId="038F82E3" w:rsidR="00962F17" w:rsidRPr="0063754E" w:rsidRDefault="00F436E6" w:rsidP="004371EB">
            <w:pPr>
              <w:spacing w:after="0"/>
              <w:jc w:val="both"/>
              <w:rPr>
                <w:rFonts w:ascii="Arial" w:hAnsi="Arial" w:cs="Arial"/>
                <w:bCs/>
                <w:sz w:val="24"/>
                <w:szCs w:val="24"/>
              </w:rPr>
            </w:pPr>
            <w:r w:rsidRPr="0063754E">
              <w:rPr>
                <w:rFonts w:ascii="Arial" w:hAnsi="Arial" w:cs="Arial"/>
                <w:bCs/>
                <w:sz w:val="24"/>
                <w:szCs w:val="24"/>
              </w:rPr>
              <w:t>All</w:t>
            </w:r>
            <w:r w:rsidR="00962F17" w:rsidRPr="0063754E">
              <w:rPr>
                <w:rFonts w:ascii="Arial" w:hAnsi="Arial" w:cs="Arial"/>
                <w:bCs/>
                <w:sz w:val="24"/>
                <w:szCs w:val="24"/>
              </w:rPr>
              <w:t xml:space="preserve"> hard copy documents</w:t>
            </w:r>
            <w:r w:rsidRPr="0063754E">
              <w:rPr>
                <w:rFonts w:ascii="Arial" w:hAnsi="Arial" w:cs="Arial"/>
                <w:bCs/>
                <w:sz w:val="24"/>
                <w:szCs w:val="24"/>
              </w:rPr>
              <w:t xml:space="preserve"> </w:t>
            </w:r>
            <w:r w:rsidR="006A69A7" w:rsidRPr="0063754E">
              <w:rPr>
                <w:rFonts w:ascii="Arial" w:hAnsi="Arial" w:cs="Arial"/>
                <w:bCs/>
                <w:sz w:val="24"/>
                <w:szCs w:val="24"/>
              </w:rPr>
              <w:t>were reviewed prior to the OPCC move to the new Headquarters building in January 2022. M</w:t>
            </w:r>
            <w:r w:rsidRPr="0063754E">
              <w:rPr>
                <w:rFonts w:ascii="Arial" w:hAnsi="Arial" w:cs="Arial"/>
                <w:bCs/>
                <w:sz w:val="24"/>
                <w:szCs w:val="24"/>
              </w:rPr>
              <w:t>inimal documents</w:t>
            </w:r>
            <w:r w:rsidR="006A69A7" w:rsidRPr="0063754E">
              <w:rPr>
                <w:rFonts w:ascii="Arial" w:hAnsi="Arial" w:cs="Arial"/>
                <w:bCs/>
                <w:sz w:val="24"/>
                <w:szCs w:val="24"/>
              </w:rPr>
              <w:t xml:space="preserve"> were identified as needing </w:t>
            </w:r>
            <w:r w:rsidR="005B4076" w:rsidRPr="0063754E">
              <w:rPr>
                <w:rFonts w:ascii="Arial" w:hAnsi="Arial" w:cs="Arial"/>
                <w:bCs/>
                <w:sz w:val="24"/>
                <w:szCs w:val="24"/>
              </w:rPr>
              <w:t xml:space="preserve">to be kept, </w:t>
            </w:r>
            <w:r w:rsidR="006A69A7" w:rsidRPr="0063754E">
              <w:rPr>
                <w:rFonts w:ascii="Arial" w:hAnsi="Arial" w:cs="Arial"/>
                <w:bCs/>
                <w:sz w:val="24"/>
                <w:szCs w:val="24"/>
              </w:rPr>
              <w:t xml:space="preserve">with </w:t>
            </w:r>
            <w:r w:rsidR="005B4076" w:rsidRPr="0063754E">
              <w:rPr>
                <w:rFonts w:ascii="Arial" w:hAnsi="Arial" w:cs="Arial"/>
                <w:bCs/>
                <w:sz w:val="24"/>
                <w:szCs w:val="24"/>
              </w:rPr>
              <w:t>the majority</w:t>
            </w:r>
            <w:r w:rsidR="00C417A8" w:rsidRPr="0063754E">
              <w:rPr>
                <w:rFonts w:ascii="Arial" w:hAnsi="Arial" w:cs="Arial"/>
                <w:bCs/>
                <w:sz w:val="24"/>
                <w:szCs w:val="24"/>
              </w:rPr>
              <w:t xml:space="preserve"> remaining </w:t>
            </w:r>
            <w:r w:rsidR="006A69A7" w:rsidRPr="0063754E">
              <w:rPr>
                <w:rFonts w:ascii="Arial" w:hAnsi="Arial" w:cs="Arial"/>
                <w:bCs/>
                <w:sz w:val="24"/>
                <w:szCs w:val="24"/>
              </w:rPr>
              <w:t xml:space="preserve">able </w:t>
            </w:r>
            <w:r w:rsidR="00962F17" w:rsidRPr="0063754E">
              <w:rPr>
                <w:rFonts w:ascii="Arial" w:hAnsi="Arial" w:cs="Arial"/>
                <w:bCs/>
                <w:sz w:val="24"/>
                <w:szCs w:val="24"/>
              </w:rPr>
              <w:t>to be scanned and saved electronically</w:t>
            </w:r>
            <w:r w:rsidR="006A69A7" w:rsidRPr="0063754E">
              <w:rPr>
                <w:rFonts w:ascii="Arial" w:hAnsi="Arial" w:cs="Arial"/>
                <w:bCs/>
                <w:sz w:val="24"/>
                <w:szCs w:val="24"/>
              </w:rPr>
              <w:t>;</w:t>
            </w:r>
            <w:r w:rsidRPr="0063754E">
              <w:rPr>
                <w:rFonts w:ascii="Arial" w:hAnsi="Arial" w:cs="Arial"/>
                <w:bCs/>
                <w:sz w:val="24"/>
                <w:szCs w:val="24"/>
              </w:rPr>
              <w:t xml:space="preserve"> the </w:t>
            </w:r>
            <w:r w:rsidR="00962F17" w:rsidRPr="0063754E">
              <w:rPr>
                <w:rFonts w:ascii="Arial" w:hAnsi="Arial" w:cs="Arial"/>
                <w:bCs/>
                <w:sz w:val="24"/>
                <w:szCs w:val="24"/>
              </w:rPr>
              <w:t xml:space="preserve">hard copy documents </w:t>
            </w:r>
            <w:r w:rsidR="00DE654B">
              <w:rPr>
                <w:rFonts w:ascii="Arial" w:hAnsi="Arial" w:cs="Arial"/>
                <w:bCs/>
                <w:sz w:val="24"/>
                <w:szCs w:val="24"/>
              </w:rPr>
              <w:t>were then</w:t>
            </w:r>
            <w:r w:rsidR="00962F17" w:rsidRPr="0063754E">
              <w:rPr>
                <w:rFonts w:ascii="Arial" w:hAnsi="Arial" w:cs="Arial"/>
                <w:bCs/>
                <w:sz w:val="24"/>
                <w:szCs w:val="24"/>
              </w:rPr>
              <w:t xml:space="preserve"> destroyed.</w:t>
            </w:r>
            <w:r w:rsidRPr="0063754E">
              <w:rPr>
                <w:rFonts w:ascii="Arial" w:hAnsi="Arial" w:cs="Arial"/>
                <w:bCs/>
                <w:sz w:val="24"/>
                <w:szCs w:val="24"/>
              </w:rPr>
              <w:t xml:space="preserve">  There are now </w:t>
            </w:r>
            <w:r w:rsidR="005B4076" w:rsidRPr="0063754E">
              <w:rPr>
                <w:rFonts w:ascii="Arial" w:hAnsi="Arial" w:cs="Arial"/>
                <w:bCs/>
                <w:sz w:val="24"/>
                <w:szCs w:val="24"/>
              </w:rPr>
              <w:t>very few</w:t>
            </w:r>
            <w:r w:rsidRPr="0063754E">
              <w:rPr>
                <w:rFonts w:ascii="Arial" w:hAnsi="Arial" w:cs="Arial"/>
                <w:bCs/>
                <w:sz w:val="24"/>
                <w:szCs w:val="24"/>
              </w:rPr>
              <w:t xml:space="preserve"> documents printed by the OPCC and we have become ‘paperless’ (as much as we possibly can be).</w:t>
            </w:r>
            <w:r w:rsidR="00E84899" w:rsidRPr="0063754E">
              <w:rPr>
                <w:rFonts w:ascii="Arial" w:hAnsi="Arial" w:cs="Arial"/>
                <w:bCs/>
                <w:sz w:val="24"/>
                <w:szCs w:val="24"/>
              </w:rPr>
              <w:t xml:space="preserve">  </w:t>
            </w:r>
            <w:r w:rsidR="004369EF" w:rsidRPr="0063754E">
              <w:rPr>
                <w:rFonts w:ascii="Arial" w:hAnsi="Arial" w:cs="Arial"/>
                <w:bCs/>
                <w:sz w:val="24"/>
                <w:szCs w:val="24"/>
              </w:rPr>
              <w:t xml:space="preserve">Work to </w:t>
            </w:r>
            <w:r w:rsidR="006A69A7" w:rsidRPr="0063754E">
              <w:rPr>
                <w:rFonts w:ascii="Arial" w:hAnsi="Arial" w:cs="Arial"/>
                <w:bCs/>
                <w:sz w:val="24"/>
                <w:szCs w:val="24"/>
              </w:rPr>
              <w:t xml:space="preserve">review and scan the </w:t>
            </w:r>
            <w:r w:rsidR="009D5B87">
              <w:rPr>
                <w:rFonts w:ascii="Arial" w:hAnsi="Arial" w:cs="Arial"/>
                <w:bCs/>
                <w:sz w:val="24"/>
                <w:szCs w:val="24"/>
              </w:rPr>
              <w:t xml:space="preserve">small number of </w:t>
            </w:r>
            <w:r w:rsidR="006A69A7" w:rsidRPr="0063754E">
              <w:rPr>
                <w:rFonts w:ascii="Arial" w:hAnsi="Arial" w:cs="Arial"/>
                <w:bCs/>
                <w:sz w:val="24"/>
                <w:szCs w:val="24"/>
              </w:rPr>
              <w:t>remaining documents will take place when there is capacity to do so</w:t>
            </w:r>
            <w:r w:rsidR="004369EF" w:rsidRPr="0063754E">
              <w:rPr>
                <w:rFonts w:ascii="Arial" w:hAnsi="Arial" w:cs="Arial"/>
                <w:bCs/>
                <w:sz w:val="24"/>
                <w:szCs w:val="24"/>
              </w:rPr>
              <w:t>.</w:t>
            </w:r>
          </w:p>
          <w:p w14:paraId="3FB26980" w14:textId="3A8635A8" w:rsidR="004369EF" w:rsidRPr="00F0225D" w:rsidRDefault="004369EF" w:rsidP="004371EB">
            <w:pPr>
              <w:spacing w:after="0"/>
              <w:jc w:val="both"/>
              <w:rPr>
                <w:rFonts w:ascii="Arial" w:hAnsi="Arial" w:cs="Arial"/>
                <w:bCs/>
                <w:sz w:val="24"/>
                <w:szCs w:val="24"/>
                <w:highlight w:val="yellow"/>
              </w:rPr>
            </w:pPr>
          </w:p>
          <w:p w14:paraId="49C545EC" w14:textId="538E9699" w:rsidR="004369EF" w:rsidRPr="0063754E" w:rsidRDefault="004369EF" w:rsidP="004371EB">
            <w:pPr>
              <w:spacing w:after="0"/>
              <w:jc w:val="both"/>
              <w:rPr>
                <w:rFonts w:ascii="Arial" w:hAnsi="Arial" w:cs="Arial"/>
                <w:bCs/>
                <w:sz w:val="24"/>
                <w:szCs w:val="24"/>
              </w:rPr>
            </w:pPr>
            <w:r w:rsidRPr="0063754E">
              <w:rPr>
                <w:rFonts w:ascii="Arial" w:hAnsi="Arial" w:cs="Arial"/>
                <w:bCs/>
                <w:sz w:val="24"/>
                <w:szCs w:val="24"/>
              </w:rPr>
              <w:lastRenderedPageBreak/>
              <w:t>A r</w:t>
            </w:r>
            <w:r w:rsidR="006A69A7" w:rsidRPr="0063754E">
              <w:rPr>
                <w:rFonts w:ascii="Arial" w:hAnsi="Arial" w:cs="Arial"/>
                <w:bCs/>
                <w:sz w:val="24"/>
                <w:szCs w:val="24"/>
              </w:rPr>
              <w:t>egular r</w:t>
            </w:r>
            <w:r w:rsidRPr="0063754E">
              <w:rPr>
                <w:rFonts w:ascii="Arial" w:hAnsi="Arial" w:cs="Arial"/>
                <w:bCs/>
                <w:sz w:val="24"/>
                <w:szCs w:val="24"/>
              </w:rPr>
              <w:t xml:space="preserve">eview </w:t>
            </w:r>
            <w:r w:rsidR="006A69A7" w:rsidRPr="0063754E">
              <w:rPr>
                <w:rFonts w:ascii="Arial" w:hAnsi="Arial" w:cs="Arial"/>
                <w:bCs/>
                <w:sz w:val="24"/>
                <w:szCs w:val="24"/>
              </w:rPr>
              <w:t xml:space="preserve">is undertaken of electronic records held by the OPCC due to the work progressing to move to </w:t>
            </w:r>
            <w:proofErr w:type="spellStart"/>
            <w:r w:rsidR="006A69A7" w:rsidRPr="0063754E">
              <w:rPr>
                <w:rFonts w:ascii="Arial" w:hAnsi="Arial" w:cs="Arial"/>
                <w:bCs/>
                <w:sz w:val="24"/>
                <w:szCs w:val="24"/>
              </w:rPr>
              <w:t>Sharepoint</w:t>
            </w:r>
            <w:proofErr w:type="spellEnd"/>
            <w:r w:rsidR="006A69A7" w:rsidRPr="0063754E">
              <w:rPr>
                <w:rFonts w:ascii="Arial" w:hAnsi="Arial" w:cs="Arial"/>
                <w:bCs/>
                <w:sz w:val="24"/>
                <w:szCs w:val="24"/>
              </w:rPr>
              <w:t>.  Items that are no longer required are being deleted by each team during this process.</w:t>
            </w:r>
          </w:p>
          <w:p w14:paraId="7B0C70A7" w14:textId="77777777" w:rsidR="009624AE" w:rsidRPr="00F0225D" w:rsidRDefault="009624AE" w:rsidP="004371EB">
            <w:pPr>
              <w:spacing w:after="0"/>
              <w:jc w:val="both"/>
              <w:rPr>
                <w:rFonts w:ascii="Arial" w:hAnsi="Arial" w:cs="Arial"/>
                <w:bCs/>
                <w:sz w:val="24"/>
                <w:szCs w:val="24"/>
                <w:highlight w:val="yellow"/>
              </w:rPr>
            </w:pPr>
          </w:p>
          <w:p w14:paraId="0A6B709E" w14:textId="0F7C1C62" w:rsidR="005A4ABD" w:rsidRPr="00CB0BDC" w:rsidRDefault="005A4ABD" w:rsidP="00ED676C">
            <w:pPr>
              <w:spacing w:after="0"/>
              <w:rPr>
                <w:rFonts w:ascii="Arial" w:hAnsi="Arial" w:cs="Arial"/>
                <w:b/>
                <w:bCs/>
                <w:sz w:val="24"/>
                <w:szCs w:val="24"/>
              </w:rPr>
            </w:pPr>
            <w:r w:rsidRPr="00CB0BDC">
              <w:rPr>
                <w:rFonts w:ascii="Arial" w:hAnsi="Arial" w:cs="Arial"/>
                <w:b/>
                <w:bCs/>
                <w:sz w:val="24"/>
                <w:szCs w:val="24"/>
              </w:rPr>
              <w:t>Areas for Concern:</w:t>
            </w:r>
          </w:p>
          <w:p w14:paraId="467A63B8" w14:textId="01832C4A" w:rsidR="00BA28D8" w:rsidRPr="00CB0BDC" w:rsidRDefault="00BA28D8" w:rsidP="004371EB">
            <w:pPr>
              <w:spacing w:after="0"/>
              <w:jc w:val="both"/>
              <w:rPr>
                <w:rFonts w:ascii="Arial" w:hAnsi="Arial" w:cs="Arial"/>
                <w:b/>
                <w:sz w:val="24"/>
                <w:szCs w:val="24"/>
              </w:rPr>
            </w:pPr>
            <w:r w:rsidRPr="00CB0BDC">
              <w:rPr>
                <w:rFonts w:ascii="Arial" w:hAnsi="Arial" w:cs="Arial"/>
                <w:b/>
                <w:sz w:val="24"/>
                <w:szCs w:val="24"/>
              </w:rPr>
              <w:t>Compliance with the DPO Role</w:t>
            </w:r>
            <w:r w:rsidR="005A4ABD" w:rsidRPr="00CB0BDC">
              <w:rPr>
                <w:rFonts w:ascii="Arial" w:hAnsi="Arial" w:cs="Arial"/>
                <w:b/>
                <w:sz w:val="24"/>
                <w:szCs w:val="24"/>
              </w:rPr>
              <w:t xml:space="preserve"> and Data Protection Legislation</w:t>
            </w:r>
          </w:p>
          <w:p w14:paraId="6E4F3520" w14:textId="5A93FE89" w:rsidR="00D66A92" w:rsidRPr="00CB0BDC" w:rsidRDefault="00660A62" w:rsidP="004371EB">
            <w:pPr>
              <w:spacing w:after="0"/>
              <w:jc w:val="both"/>
              <w:rPr>
                <w:rFonts w:ascii="Arial" w:hAnsi="Arial" w:cs="Arial"/>
                <w:bCs/>
                <w:sz w:val="24"/>
                <w:szCs w:val="24"/>
              </w:rPr>
            </w:pPr>
            <w:r w:rsidRPr="00CB0BDC">
              <w:rPr>
                <w:rFonts w:ascii="Arial" w:hAnsi="Arial" w:cs="Arial"/>
                <w:bCs/>
                <w:sz w:val="24"/>
                <w:szCs w:val="24"/>
              </w:rPr>
              <w:t>A risk-based assessment has been undertaken by the DPO to determine compliance with the responsibilities of the DPO during 202</w:t>
            </w:r>
            <w:r w:rsidR="00CB0BDC" w:rsidRPr="00CB0BDC">
              <w:rPr>
                <w:rFonts w:ascii="Arial" w:hAnsi="Arial" w:cs="Arial"/>
                <w:bCs/>
                <w:sz w:val="24"/>
                <w:szCs w:val="24"/>
              </w:rPr>
              <w:t>4</w:t>
            </w:r>
            <w:r w:rsidRPr="00CB0BDC">
              <w:rPr>
                <w:rFonts w:ascii="Arial" w:hAnsi="Arial" w:cs="Arial"/>
                <w:bCs/>
                <w:sz w:val="24"/>
                <w:szCs w:val="24"/>
              </w:rPr>
              <w:t>/2</w:t>
            </w:r>
            <w:r w:rsidR="00CB0BDC" w:rsidRPr="00CB0BDC">
              <w:rPr>
                <w:rFonts w:ascii="Arial" w:hAnsi="Arial" w:cs="Arial"/>
                <w:bCs/>
                <w:sz w:val="24"/>
                <w:szCs w:val="24"/>
              </w:rPr>
              <w:t>5</w:t>
            </w:r>
            <w:r w:rsidRPr="00CB0BDC">
              <w:rPr>
                <w:rFonts w:ascii="Arial" w:hAnsi="Arial" w:cs="Arial"/>
                <w:bCs/>
                <w:sz w:val="24"/>
                <w:szCs w:val="24"/>
              </w:rPr>
              <w:t xml:space="preserve"> as set out under Article 37-39 of the UK GDPR.  </w:t>
            </w:r>
          </w:p>
          <w:p w14:paraId="774012CF" w14:textId="77777777" w:rsidR="00D66A92" w:rsidRPr="00F0225D" w:rsidRDefault="00D66A92" w:rsidP="004371EB">
            <w:pPr>
              <w:spacing w:after="0"/>
              <w:jc w:val="both"/>
              <w:rPr>
                <w:rFonts w:ascii="Arial" w:hAnsi="Arial" w:cs="Arial"/>
                <w:bCs/>
                <w:sz w:val="24"/>
                <w:szCs w:val="24"/>
                <w:highlight w:val="yellow"/>
              </w:rPr>
            </w:pPr>
          </w:p>
          <w:p w14:paraId="758EBCE2" w14:textId="674F9D38" w:rsidR="00660A62" w:rsidRPr="00F0225D" w:rsidRDefault="00660A62" w:rsidP="004371EB">
            <w:pPr>
              <w:spacing w:after="0"/>
              <w:jc w:val="both"/>
              <w:rPr>
                <w:rFonts w:ascii="Arial" w:hAnsi="Arial" w:cs="Arial"/>
                <w:bCs/>
                <w:sz w:val="24"/>
                <w:szCs w:val="24"/>
                <w:highlight w:val="yellow"/>
              </w:rPr>
            </w:pPr>
            <w:r w:rsidRPr="007F2497">
              <w:rPr>
                <w:rFonts w:ascii="Arial" w:hAnsi="Arial" w:cs="Arial"/>
                <w:bCs/>
                <w:sz w:val="24"/>
                <w:szCs w:val="24"/>
              </w:rPr>
              <w:t xml:space="preserve">The key </w:t>
            </w:r>
            <w:r w:rsidR="006629B8" w:rsidRPr="007F2497">
              <w:rPr>
                <w:rFonts w:ascii="Arial" w:hAnsi="Arial" w:cs="Arial"/>
                <w:bCs/>
                <w:sz w:val="24"/>
                <w:szCs w:val="24"/>
              </w:rPr>
              <w:t>are</w:t>
            </w:r>
            <w:r w:rsidR="007E4957" w:rsidRPr="007F2497">
              <w:rPr>
                <w:rFonts w:ascii="Arial" w:hAnsi="Arial" w:cs="Arial"/>
                <w:bCs/>
                <w:sz w:val="24"/>
                <w:szCs w:val="24"/>
              </w:rPr>
              <w:t>a</w:t>
            </w:r>
            <w:r w:rsidR="006629B8" w:rsidRPr="007F2497">
              <w:rPr>
                <w:rFonts w:ascii="Arial" w:hAnsi="Arial" w:cs="Arial"/>
                <w:bCs/>
                <w:sz w:val="24"/>
                <w:szCs w:val="24"/>
              </w:rPr>
              <w:t xml:space="preserve"> for impr</w:t>
            </w:r>
            <w:r w:rsidR="007E4957" w:rsidRPr="007F2497">
              <w:rPr>
                <w:rFonts w:ascii="Arial" w:hAnsi="Arial" w:cs="Arial"/>
                <w:bCs/>
                <w:sz w:val="24"/>
                <w:szCs w:val="24"/>
              </w:rPr>
              <w:t>o</w:t>
            </w:r>
            <w:r w:rsidR="006629B8" w:rsidRPr="007F2497">
              <w:rPr>
                <w:rFonts w:ascii="Arial" w:hAnsi="Arial" w:cs="Arial"/>
                <w:bCs/>
                <w:sz w:val="24"/>
                <w:szCs w:val="24"/>
              </w:rPr>
              <w:t>vement</w:t>
            </w:r>
            <w:r w:rsidRPr="007F2497">
              <w:rPr>
                <w:rFonts w:ascii="Arial" w:hAnsi="Arial" w:cs="Arial"/>
                <w:bCs/>
                <w:sz w:val="24"/>
                <w:szCs w:val="24"/>
              </w:rPr>
              <w:t xml:space="preserve"> </w:t>
            </w:r>
            <w:r w:rsidR="00D66A92" w:rsidRPr="007F2497">
              <w:rPr>
                <w:rFonts w:ascii="Arial" w:hAnsi="Arial" w:cs="Arial"/>
                <w:bCs/>
                <w:sz w:val="24"/>
                <w:szCs w:val="24"/>
              </w:rPr>
              <w:t xml:space="preserve">remains </w:t>
            </w:r>
            <w:r w:rsidRPr="007F2497">
              <w:rPr>
                <w:rFonts w:ascii="Arial" w:hAnsi="Arial" w:cs="Arial"/>
                <w:bCs/>
                <w:sz w:val="24"/>
                <w:szCs w:val="24"/>
              </w:rPr>
              <w:t>the resource available to the DPO to be able to meet the statutory duties of the role.</w:t>
            </w:r>
            <w:r w:rsidR="00D66A92" w:rsidRPr="007F2497">
              <w:rPr>
                <w:rFonts w:ascii="Arial" w:hAnsi="Arial" w:cs="Arial"/>
                <w:bCs/>
                <w:sz w:val="24"/>
                <w:szCs w:val="24"/>
              </w:rPr>
              <w:t xml:space="preserve">  An external consultant has undertaken an audit of </w:t>
            </w:r>
            <w:proofErr w:type="gramStart"/>
            <w:r w:rsidR="00D66A92" w:rsidRPr="007F2497">
              <w:rPr>
                <w:rFonts w:ascii="Arial" w:hAnsi="Arial" w:cs="Arial"/>
                <w:bCs/>
                <w:sz w:val="24"/>
                <w:szCs w:val="24"/>
              </w:rPr>
              <w:t>compliance</w:t>
            </w:r>
            <w:proofErr w:type="gramEnd"/>
            <w:r w:rsidR="00D66A92" w:rsidRPr="007F2497">
              <w:rPr>
                <w:rFonts w:ascii="Arial" w:hAnsi="Arial" w:cs="Arial"/>
                <w:bCs/>
                <w:sz w:val="24"/>
                <w:szCs w:val="24"/>
              </w:rPr>
              <w:t xml:space="preserve"> and a detailed plan has been developed of the work that is required to ensure the OPCC further build on their compliance with the GDPR.</w:t>
            </w:r>
            <w:r w:rsidR="00622EBA" w:rsidRPr="007F2497">
              <w:rPr>
                <w:rFonts w:ascii="Arial" w:hAnsi="Arial" w:cs="Arial"/>
                <w:bCs/>
                <w:sz w:val="24"/>
                <w:szCs w:val="24"/>
              </w:rPr>
              <w:t xml:space="preserve">  The </w:t>
            </w:r>
            <w:r w:rsidR="00CE10B1">
              <w:rPr>
                <w:rFonts w:ascii="Arial" w:hAnsi="Arial" w:cs="Arial"/>
                <w:bCs/>
                <w:sz w:val="24"/>
                <w:szCs w:val="24"/>
              </w:rPr>
              <w:t>Head of Assurance and Compliance (HoAC)</w:t>
            </w:r>
            <w:r w:rsidR="00622EBA" w:rsidRPr="007F2497">
              <w:rPr>
                <w:rFonts w:ascii="Arial" w:hAnsi="Arial" w:cs="Arial"/>
                <w:bCs/>
                <w:sz w:val="24"/>
                <w:szCs w:val="24"/>
              </w:rPr>
              <w:t xml:space="preserve"> and the Governance Officer review the data protection action plan on an ongoing basis.  </w:t>
            </w:r>
            <w:r w:rsidR="00CE10B1">
              <w:rPr>
                <w:rFonts w:ascii="Arial" w:hAnsi="Arial" w:cs="Arial"/>
                <w:bCs/>
                <w:sz w:val="24"/>
                <w:szCs w:val="24"/>
              </w:rPr>
              <w:t>The</w:t>
            </w:r>
            <w:r w:rsidR="00622EBA" w:rsidRPr="007F2497">
              <w:rPr>
                <w:rFonts w:ascii="Arial" w:hAnsi="Arial" w:cs="Arial"/>
                <w:bCs/>
                <w:sz w:val="24"/>
                <w:szCs w:val="24"/>
              </w:rPr>
              <w:t xml:space="preserve"> areas of work we </w:t>
            </w:r>
            <w:proofErr w:type="gramStart"/>
            <w:r w:rsidR="00622EBA" w:rsidRPr="007F2497">
              <w:rPr>
                <w:rFonts w:ascii="Arial" w:hAnsi="Arial" w:cs="Arial"/>
                <w:bCs/>
                <w:sz w:val="24"/>
                <w:szCs w:val="24"/>
              </w:rPr>
              <w:t xml:space="preserve">are able </w:t>
            </w:r>
            <w:r w:rsidR="00CE10B1">
              <w:rPr>
                <w:rFonts w:ascii="Arial" w:hAnsi="Arial" w:cs="Arial"/>
                <w:bCs/>
                <w:sz w:val="24"/>
                <w:szCs w:val="24"/>
              </w:rPr>
              <w:t>to</w:t>
            </w:r>
            <w:proofErr w:type="gramEnd"/>
            <w:r w:rsidR="00CE10B1">
              <w:rPr>
                <w:rFonts w:ascii="Arial" w:hAnsi="Arial" w:cs="Arial"/>
                <w:bCs/>
                <w:sz w:val="24"/>
                <w:szCs w:val="24"/>
              </w:rPr>
              <w:t xml:space="preserve"> progress will continue to be monitored </w:t>
            </w:r>
            <w:r w:rsidR="00622EBA" w:rsidRPr="007F2497">
              <w:rPr>
                <w:rFonts w:ascii="Arial" w:hAnsi="Arial" w:cs="Arial"/>
                <w:bCs/>
                <w:sz w:val="24"/>
                <w:szCs w:val="24"/>
              </w:rPr>
              <w:t>whilst ensuring those that we require further support with are collated and a consultant appointed when appropriate to provide advice and guidance.</w:t>
            </w:r>
            <w:r w:rsidRPr="007F2497">
              <w:rPr>
                <w:rFonts w:ascii="Arial" w:hAnsi="Arial" w:cs="Arial"/>
                <w:bCs/>
                <w:sz w:val="24"/>
                <w:szCs w:val="24"/>
              </w:rPr>
              <w:t xml:space="preserve">  </w:t>
            </w:r>
          </w:p>
          <w:p w14:paraId="5AB6800D" w14:textId="77777777" w:rsidR="00622EBA" w:rsidRPr="00F0225D" w:rsidRDefault="00622EBA" w:rsidP="004371EB">
            <w:pPr>
              <w:spacing w:after="0"/>
              <w:jc w:val="both"/>
              <w:rPr>
                <w:rFonts w:ascii="Arial" w:hAnsi="Arial" w:cs="Arial"/>
                <w:bCs/>
                <w:sz w:val="24"/>
                <w:szCs w:val="24"/>
                <w:highlight w:val="yellow"/>
              </w:rPr>
            </w:pPr>
          </w:p>
          <w:p w14:paraId="4BE2D0C0" w14:textId="73B4C19C" w:rsidR="004369EF" w:rsidRDefault="004369EF" w:rsidP="004371EB">
            <w:pPr>
              <w:spacing w:after="0"/>
              <w:jc w:val="both"/>
              <w:rPr>
                <w:rFonts w:ascii="Arial" w:hAnsi="Arial" w:cs="Arial"/>
                <w:bCs/>
                <w:sz w:val="24"/>
                <w:szCs w:val="24"/>
              </w:rPr>
            </w:pPr>
            <w:r w:rsidRPr="007F2497">
              <w:rPr>
                <w:rFonts w:ascii="Arial" w:hAnsi="Arial" w:cs="Arial"/>
                <w:bCs/>
                <w:sz w:val="24"/>
                <w:szCs w:val="24"/>
              </w:rPr>
              <w:t xml:space="preserve">Additional resource </w:t>
            </w:r>
            <w:r w:rsidR="00622EBA" w:rsidRPr="007F2497">
              <w:rPr>
                <w:rFonts w:ascii="Arial" w:hAnsi="Arial" w:cs="Arial"/>
                <w:bCs/>
                <w:sz w:val="24"/>
                <w:szCs w:val="24"/>
              </w:rPr>
              <w:t>was</w:t>
            </w:r>
            <w:r w:rsidRPr="007F2497">
              <w:rPr>
                <w:rFonts w:ascii="Arial" w:hAnsi="Arial" w:cs="Arial"/>
                <w:bCs/>
                <w:sz w:val="24"/>
                <w:szCs w:val="24"/>
              </w:rPr>
              <w:t xml:space="preserve"> agreed to support the governance and complaints areas of work that the DPO is also responsible for in the </w:t>
            </w:r>
            <w:r w:rsidR="00CE10B1">
              <w:rPr>
                <w:rFonts w:ascii="Arial" w:hAnsi="Arial" w:cs="Arial"/>
                <w:bCs/>
                <w:sz w:val="24"/>
                <w:szCs w:val="24"/>
              </w:rPr>
              <w:t>HoAC</w:t>
            </w:r>
            <w:r w:rsidRPr="007F2497">
              <w:rPr>
                <w:rFonts w:ascii="Arial" w:hAnsi="Arial" w:cs="Arial"/>
                <w:bCs/>
                <w:sz w:val="24"/>
                <w:szCs w:val="24"/>
              </w:rPr>
              <w:t xml:space="preserve"> </w:t>
            </w:r>
            <w:r w:rsidR="00D049BA">
              <w:rPr>
                <w:rFonts w:ascii="Arial" w:hAnsi="Arial" w:cs="Arial"/>
                <w:bCs/>
                <w:sz w:val="24"/>
                <w:szCs w:val="24"/>
              </w:rPr>
              <w:t>r</w:t>
            </w:r>
            <w:r w:rsidRPr="007F2497">
              <w:rPr>
                <w:rFonts w:ascii="Arial" w:hAnsi="Arial" w:cs="Arial"/>
                <w:bCs/>
                <w:sz w:val="24"/>
                <w:szCs w:val="24"/>
              </w:rPr>
              <w:t>ole</w:t>
            </w:r>
            <w:r w:rsidR="00871672" w:rsidRPr="007F2497">
              <w:rPr>
                <w:rFonts w:ascii="Arial" w:hAnsi="Arial" w:cs="Arial"/>
                <w:bCs/>
                <w:sz w:val="24"/>
                <w:szCs w:val="24"/>
              </w:rPr>
              <w:t xml:space="preserve">.  </w:t>
            </w:r>
            <w:r w:rsidR="00622EBA" w:rsidRPr="007F2497">
              <w:rPr>
                <w:rFonts w:ascii="Arial" w:hAnsi="Arial" w:cs="Arial"/>
                <w:bCs/>
                <w:sz w:val="24"/>
                <w:szCs w:val="24"/>
              </w:rPr>
              <w:t xml:space="preserve">This post was filled during August </w:t>
            </w:r>
            <w:proofErr w:type="gramStart"/>
            <w:r w:rsidR="00622EBA" w:rsidRPr="007F2497">
              <w:rPr>
                <w:rFonts w:ascii="Arial" w:hAnsi="Arial" w:cs="Arial"/>
                <w:bCs/>
                <w:sz w:val="24"/>
                <w:szCs w:val="24"/>
              </w:rPr>
              <w:t>2023</w:t>
            </w:r>
            <w:proofErr w:type="gramEnd"/>
            <w:r w:rsidR="00622EBA" w:rsidRPr="007F2497">
              <w:rPr>
                <w:rFonts w:ascii="Arial" w:hAnsi="Arial" w:cs="Arial"/>
                <w:bCs/>
                <w:sz w:val="24"/>
                <w:szCs w:val="24"/>
              </w:rPr>
              <w:t xml:space="preserve"> and </w:t>
            </w:r>
            <w:r w:rsidR="007F2497" w:rsidRPr="007F2497">
              <w:rPr>
                <w:rFonts w:ascii="Arial" w:hAnsi="Arial" w:cs="Arial"/>
                <w:bCs/>
                <w:sz w:val="24"/>
                <w:szCs w:val="24"/>
              </w:rPr>
              <w:t xml:space="preserve">it was anticipated that </w:t>
            </w:r>
            <w:r w:rsidR="00622EBA" w:rsidRPr="007F2497">
              <w:rPr>
                <w:rFonts w:ascii="Arial" w:hAnsi="Arial" w:cs="Arial"/>
                <w:bCs/>
                <w:sz w:val="24"/>
                <w:szCs w:val="24"/>
              </w:rPr>
              <w:t xml:space="preserve">once embedded into the organisation, this should </w:t>
            </w:r>
            <w:r w:rsidR="00871672" w:rsidRPr="007F2497">
              <w:rPr>
                <w:rFonts w:ascii="Arial" w:hAnsi="Arial" w:cs="Arial"/>
                <w:bCs/>
                <w:sz w:val="24"/>
                <w:szCs w:val="24"/>
              </w:rPr>
              <w:t xml:space="preserve">free the time of the </w:t>
            </w:r>
            <w:r w:rsidR="00CE10B1">
              <w:rPr>
                <w:rFonts w:ascii="Arial" w:hAnsi="Arial" w:cs="Arial"/>
                <w:bCs/>
                <w:sz w:val="24"/>
                <w:szCs w:val="24"/>
              </w:rPr>
              <w:t>HoAC</w:t>
            </w:r>
            <w:r w:rsidR="00871672" w:rsidRPr="007F2497">
              <w:rPr>
                <w:rFonts w:ascii="Arial" w:hAnsi="Arial" w:cs="Arial"/>
                <w:bCs/>
                <w:sz w:val="24"/>
                <w:szCs w:val="24"/>
              </w:rPr>
              <w:t xml:space="preserve"> in the longer term to enable greater focus to be placed on the data protection work.</w:t>
            </w:r>
            <w:r w:rsidR="007F2497">
              <w:rPr>
                <w:rFonts w:ascii="Arial" w:hAnsi="Arial" w:cs="Arial"/>
                <w:bCs/>
                <w:sz w:val="24"/>
                <w:szCs w:val="24"/>
              </w:rPr>
              <w:t xml:space="preserve">  However, since the Standards and Governance Officer (SGO) role was appointed</w:t>
            </w:r>
            <w:r w:rsidR="00CE10B1">
              <w:rPr>
                <w:rFonts w:ascii="Arial" w:hAnsi="Arial" w:cs="Arial"/>
                <w:bCs/>
                <w:sz w:val="24"/>
                <w:szCs w:val="24"/>
              </w:rPr>
              <w:t xml:space="preserve"> to</w:t>
            </w:r>
            <w:r w:rsidR="007F2497">
              <w:rPr>
                <w:rFonts w:ascii="Arial" w:hAnsi="Arial" w:cs="Arial"/>
                <w:bCs/>
                <w:sz w:val="24"/>
                <w:szCs w:val="24"/>
              </w:rPr>
              <w:t xml:space="preserve">, amendments have been made to the OPCC governance structure to ensure </w:t>
            </w:r>
            <w:r w:rsidR="00CE10B1">
              <w:rPr>
                <w:rFonts w:ascii="Arial" w:hAnsi="Arial" w:cs="Arial"/>
                <w:bCs/>
                <w:sz w:val="24"/>
                <w:szCs w:val="24"/>
              </w:rPr>
              <w:t xml:space="preserve">more </w:t>
            </w:r>
            <w:r w:rsidR="009D5B87">
              <w:rPr>
                <w:rFonts w:ascii="Arial" w:hAnsi="Arial" w:cs="Arial"/>
                <w:bCs/>
                <w:sz w:val="24"/>
                <w:szCs w:val="24"/>
              </w:rPr>
              <w:t xml:space="preserve">robust </w:t>
            </w:r>
            <w:r w:rsidR="007F2497">
              <w:rPr>
                <w:rFonts w:ascii="Arial" w:hAnsi="Arial" w:cs="Arial"/>
                <w:bCs/>
                <w:sz w:val="24"/>
                <w:szCs w:val="24"/>
              </w:rPr>
              <w:t xml:space="preserve">scrutiny of Gwent Police takes place.  This has resulted in </w:t>
            </w:r>
            <w:r w:rsidR="009D5B87">
              <w:rPr>
                <w:rFonts w:ascii="Arial" w:hAnsi="Arial" w:cs="Arial"/>
                <w:bCs/>
                <w:sz w:val="24"/>
                <w:szCs w:val="24"/>
              </w:rPr>
              <w:t xml:space="preserve">the introduction of </w:t>
            </w:r>
            <w:r w:rsidR="007F2497">
              <w:rPr>
                <w:rFonts w:ascii="Arial" w:hAnsi="Arial" w:cs="Arial"/>
                <w:bCs/>
                <w:sz w:val="24"/>
                <w:szCs w:val="24"/>
              </w:rPr>
              <w:t>quarterly P</w:t>
            </w:r>
            <w:r w:rsidR="00CE10B1">
              <w:rPr>
                <w:rFonts w:ascii="Arial" w:hAnsi="Arial" w:cs="Arial"/>
                <w:bCs/>
                <w:sz w:val="24"/>
                <w:szCs w:val="24"/>
              </w:rPr>
              <w:t xml:space="preserve">rofessional </w:t>
            </w:r>
            <w:r w:rsidR="007F2497">
              <w:rPr>
                <w:rFonts w:ascii="Arial" w:hAnsi="Arial" w:cs="Arial"/>
                <w:bCs/>
                <w:sz w:val="24"/>
                <w:szCs w:val="24"/>
              </w:rPr>
              <w:t>S</w:t>
            </w:r>
            <w:r w:rsidR="00CE10B1">
              <w:rPr>
                <w:rFonts w:ascii="Arial" w:hAnsi="Arial" w:cs="Arial"/>
                <w:bCs/>
                <w:sz w:val="24"/>
                <w:szCs w:val="24"/>
              </w:rPr>
              <w:t xml:space="preserve">tandards </w:t>
            </w:r>
            <w:r w:rsidR="007F2497">
              <w:rPr>
                <w:rFonts w:ascii="Arial" w:hAnsi="Arial" w:cs="Arial"/>
                <w:bCs/>
                <w:sz w:val="24"/>
                <w:szCs w:val="24"/>
              </w:rPr>
              <w:t>D</w:t>
            </w:r>
            <w:r w:rsidR="00CE10B1">
              <w:rPr>
                <w:rFonts w:ascii="Arial" w:hAnsi="Arial" w:cs="Arial"/>
                <w:bCs/>
                <w:sz w:val="24"/>
                <w:szCs w:val="24"/>
              </w:rPr>
              <w:t>epartment (PSD)</w:t>
            </w:r>
            <w:r w:rsidR="009D5B87">
              <w:rPr>
                <w:rFonts w:ascii="Arial" w:hAnsi="Arial" w:cs="Arial"/>
                <w:bCs/>
                <w:sz w:val="24"/>
                <w:szCs w:val="24"/>
              </w:rPr>
              <w:t xml:space="preserve"> scrutiny</w:t>
            </w:r>
            <w:r w:rsidR="007F2497">
              <w:rPr>
                <w:rFonts w:ascii="Arial" w:hAnsi="Arial" w:cs="Arial"/>
                <w:bCs/>
                <w:sz w:val="24"/>
                <w:szCs w:val="24"/>
              </w:rPr>
              <w:t xml:space="preserve"> meetings taking place as well as 3 </w:t>
            </w:r>
            <w:r w:rsidR="00CE10B1">
              <w:rPr>
                <w:rFonts w:ascii="Arial" w:hAnsi="Arial" w:cs="Arial"/>
                <w:bCs/>
                <w:sz w:val="24"/>
                <w:szCs w:val="24"/>
              </w:rPr>
              <w:t>extra</w:t>
            </w:r>
            <w:r w:rsidR="007F2497">
              <w:rPr>
                <w:rFonts w:ascii="Arial" w:hAnsi="Arial" w:cs="Arial"/>
                <w:bCs/>
                <w:sz w:val="24"/>
                <w:szCs w:val="24"/>
              </w:rPr>
              <w:t xml:space="preserve"> Accountability and Assurance</w:t>
            </w:r>
            <w:r w:rsidR="00B416FC">
              <w:rPr>
                <w:rFonts w:ascii="Arial" w:hAnsi="Arial" w:cs="Arial"/>
                <w:bCs/>
                <w:sz w:val="24"/>
                <w:szCs w:val="24"/>
              </w:rPr>
              <w:t xml:space="preserve"> Board</w:t>
            </w:r>
            <w:r w:rsidR="007F2497">
              <w:rPr>
                <w:rFonts w:ascii="Arial" w:hAnsi="Arial" w:cs="Arial"/>
                <w:bCs/>
                <w:sz w:val="24"/>
                <w:szCs w:val="24"/>
              </w:rPr>
              <w:t xml:space="preserve"> (AAB) </w:t>
            </w:r>
            <w:r w:rsidR="00B416FC">
              <w:rPr>
                <w:rFonts w:ascii="Arial" w:hAnsi="Arial" w:cs="Arial"/>
                <w:bCs/>
                <w:sz w:val="24"/>
                <w:szCs w:val="24"/>
              </w:rPr>
              <w:t xml:space="preserve">meetings </w:t>
            </w:r>
            <w:r w:rsidR="007F2497">
              <w:rPr>
                <w:rFonts w:ascii="Arial" w:hAnsi="Arial" w:cs="Arial"/>
                <w:bCs/>
                <w:sz w:val="24"/>
                <w:szCs w:val="24"/>
              </w:rPr>
              <w:t>in addition to the 4 standard AAB meetings (AAB replaced the Strategy and Performance Board).  The SGO is responsible for arranging, setting the agenda and writing the minutes for these meetings</w:t>
            </w:r>
            <w:r w:rsidR="00DE654B">
              <w:rPr>
                <w:rFonts w:ascii="Arial" w:hAnsi="Arial" w:cs="Arial"/>
                <w:bCs/>
                <w:sz w:val="24"/>
                <w:szCs w:val="24"/>
              </w:rPr>
              <w:t xml:space="preserve"> </w:t>
            </w:r>
            <w:r w:rsidR="009D5B87">
              <w:rPr>
                <w:rFonts w:ascii="Arial" w:hAnsi="Arial" w:cs="Arial"/>
                <w:bCs/>
                <w:sz w:val="24"/>
                <w:szCs w:val="24"/>
              </w:rPr>
              <w:t xml:space="preserve">which has resulted in </w:t>
            </w:r>
            <w:r w:rsidR="007F2497">
              <w:rPr>
                <w:rFonts w:ascii="Arial" w:hAnsi="Arial" w:cs="Arial"/>
                <w:bCs/>
                <w:sz w:val="24"/>
                <w:szCs w:val="24"/>
              </w:rPr>
              <w:t>a significant increase in workload.  In addition to this</w:t>
            </w:r>
            <w:r w:rsidR="009D5B87">
              <w:rPr>
                <w:rFonts w:ascii="Arial" w:hAnsi="Arial" w:cs="Arial"/>
                <w:bCs/>
                <w:sz w:val="24"/>
                <w:szCs w:val="24"/>
              </w:rPr>
              <w:t>,</w:t>
            </w:r>
            <w:r w:rsidR="007F2497">
              <w:rPr>
                <w:rFonts w:ascii="Arial" w:hAnsi="Arial" w:cs="Arial"/>
                <w:bCs/>
                <w:sz w:val="24"/>
                <w:szCs w:val="24"/>
              </w:rPr>
              <w:t xml:space="preserve"> the complaint </w:t>
            </w:r>
            <w:proofErr w:type="gramStart"/>
            <w:r w:rsidR="007F2497">
              <w:rPr>
                <w:rFonts w:ascii="Arial" w:hAnsi="Arial" w:cs="Arial"/>
                <w:bCs/>
                <w:sz w:val="24"/>
                <w:szCs w:val="24"/>
              </w:rPr>
              <w:t>work</w:t>
            </w:r>
            <w:proofErr w:type="gramEnd"/>
            <w:r w:rsidR="007F2497">
              <w:rPr>
                <w:rFonts w:ascii="Arial" w:hAnsi="Arial" w:cs="Arial"/>
                <w:bCs/>
                <w:sz w:val="24"/>
                <w:szCs w:val="24"/>
              </w:rPr>
              <w:t xml:space="preserve"> this role supports ha</w:t>
            </w:r>
            <w:r w:rsidR="009D5B87">
              <w:rPr>
                <w:rFonts w:ascii="Arial" w:hAnsi="Arial" w:cs="Arial"/>
                <w:bCs/>
                <w:sz w:val="24"/>
                <w:szCs w:val="24"/>
              </w:rPr>
              <w:t>s</w:t>
            </w:r>
            <w:r w:rsidR="007F2497">
              <w:rPr>
                <w:rFonts w:ascii="Arial" w:hAnsi="Arial" w:cs="Arial"/>
                <w:bCs/>
                <w:sz w:val="24"/>
                <w:szCs w:val="24"/>
              </w:rPr>
              <w:t xml:space="preserve"> </w:t>
            </w:r>
            <w:r w:rsidR="00B416FC">
              <w:rPr>
                <w:rFonts w:ascii="Arial" w:hAnsi="Arial" w:cs="Arial"/>
                <w:bCs/>
                <w:sz w:val="24"/>
                <w:szCs w:val="24"/>
              </w:rPr>
              <w:t xml:space="preserve">also </w:t>
            </w:r>
            <w:r w:rsidR="007F2497">
              <w:rPr>
                <w:rFonts w:ascii="Arial" w:hAnsi="Arial" w:cs="Arial"/>
                <w:bCs/>
                <w:sz w:val="24"/>
                <w:szCs w:val="24"/>
              </w:rPr>
              <w:t xml:space="preserve">increased in </w:t>
            </w:r>
            <w:r w:rsidR="00B416FC">
              <w:rPr>
                <w:rFonts w:ascii="Arial" w:hAnsi="Arial" w:cs="Arial"/>
                <w:bCs/>
                <w:sz w:val="24"/>
                <w:szCs w:val="24"/>
              </w:rPr>
              <w:t>quantity</w:t>
            </w:r>
            <w:r w:rsidR="007F2497">
              <w:rPr>
                <w:rFonts w:ascii="Arial" w:hAnsi="Arial" w:cs="Arial"/>
                <w:bCs/>
                <w:sz w:val="24"/>
                <w:szCs w:val="24"/>
              </w:rPr>
              <w:t xml:space="preserve"> and complexity during 2024/25, placing additional demands on the SGO and HoAC.  This increase in demand is expected to remain going forward.</w:t>
            </w:r>
            <w:r w:rsidR="00622EBA" w:rsidRPr="007F2497">
              <w:rPr>
                <w:rFonts w:ascii="Arial" w:hAnsi="Arial" w:cs="Arial"/>
                <w:bCs/>
                <w:sz w:val="24"/>
                <w:szCs w:val="24"/>
              </w:rPr>
              <w:t xml:space="preserve">  </w:t>
            </w:r>
            <w:r w:rsidR="007F2497">
              <w:rPr>
                <w:rFonts w:ascii="Arial" w:hAnsi="Arial" w:cs="Arial"/>
                <w:bCs/>
                <w:sz w:val="24"/>
                <w:szCs w:val="24"/>
              </w:rPr>
              <w:t xml:space="preserve">These concerns will be raised with the OPCC Executive Team during 2025/26 and will be closely monitored </w:t>
            </w:r>
            <w:proofErr w:type="gramStart"/>
            <w:r w:rsidR="007F2497">
              <w:rPr>
                <w:rFonts w:ascii="Arial" w:hAnsi="Arial" w:cs="Arial"/>
                <w:bCs/>
                <w:sz w:val="24"/>
                <w:szCs w:val="24"/>
              </w:rPr>
              <w:t>in order to</w:t>
            </w:r>
            <w:proofErr w:type="gramEnd"/>
            <w:r w:rsidR="007F2497">
              <w:rPr>
                <w:rFonts w:ascii="Arial" w:hAnsi="Arial" w:cs="Arial"/>
                <w:bCs/>
                <w:sz w:val="24"/>
                <w:szCs w:val="24"/>
              </w:rPr>
              <w:t xml:space="preserve"> determine resourc</w:t>
            </w:r>
            <w:r w:rsidR="00CE10B1">
              <w:rPr>
                <w:rFonts w:ascii="Arial" w:hAnsi="Arial" w:cs="Arial"/>
                <w:bCs/>
                <w:sz w:val="24"/>
                <w:szCs w:val="24"/>
              </w:rPr>
              <w:t>e requirements</w:t>
            </w:r>
            <w:r w:rsidR="007F2497">
              <w:rPr>
                <w:rFonts w:ascii="Arial" w:hAnsi="Arial" w:cs="Arial"/>
                <w:bCs/>
                <w:sz w:val="24"/>
                <w:szCs w:val="24"/>
              </w:rPr>
              <w:t>.</w:t>
            </w:r>
          </w:p>
          <w:p w14:paraId="58602EEB" w14:textId="77777777" w:rsidR="007B3A53" w:rsidRDefault="007B3A53" w:rsidP="004371EB">
            <w:pPr>
              <w:spacing w:after="0"/>
              <w:jc w:val="both"/>
              <w:rPr>
                <w:rFonts w:ascii="Arial" w:hAnsi="Arial" w:cs="Arial"/>
                <w:bCs/>
                <w:sz w:val="24"/>
                <w:szCs w:val="24"/>
                <w:highlight w:val="yellow"/>
              </w:rPr>
            </w:pPr>
          </w:p>
          <w:p w14:paraId="5631ECC9" w14:textId="6ECAA239" w:rsidR="007B3A53" w:rsidRPr="007B3A53" w:rsidRDefault="007B3A53" w:rsidP="004371EB">
            <w:pPr>
              <w:spacing w:after="0"/>
              <w:jc w:val="both"/>
              <w:rPr>
                <w:rFonts w:ascii="Arial" w:hAnsi="Arial" w:cs="Arial"/>
                <w:bCs/>
                <w:sz w:val="24"/>
                <w:szCs w:val="24"/>
              </w:rPr>
            </w:pPr>
            <w:r w:rsidRPr="007B3A53">
              <w:rPr>
                <w:rFonts w:ascii="Arial" w:hAnsi="Arial" w:cs="Arial"/>
                <w:bCs/>
                <w:sz w:val="24"/>
                <w:szCs w:val="24"/>
              </w:rPr>
              <w:t>As a direct result of the red rating in the assessment, the Chief Executive has agreed to provide extra support to the HoAC to enable progress to be made on the data protection action plan and as such, reduce the risk highlighted.</w:t>
            </w:r>
          </w:p>
          <w:p w14:paraId="34BD2DEE" w14:textId="77777777" w:rsidR="007B3A53" w:rsidRPr="00F0225D" w:rsidRDefault="007B3A53" w:rsidP="004371EB">
            <w:pPr>
              <w:spacing w:after="0"/>
              <w:jc w:val="both"/>
              <w:rPr>
                <w:rFonts w:ascii="Arial" w:hAnsi="Arial" w:cs="Arial"/>
                <w:bCs/>
                <w:sz w:val="24"/>
                <w:szCs w:val="24"/>
                <w:highlight w:val="yellow"/>
              </w:rPr>
            </w:pPr>
          </w:p>
          <w:p w14:paraId="4E9C2F3F" w14:textId="77777777" w:rsidR="00CE10B1" w:rsidRDefault="00CE10B1" w:rsidP="00CE10B1">
            <w:pPr>
              <w:spacing w:after="0"/>
              <w:jc w:val="both"/>
              <w:rPr>
                <w:rFonts w:ascii="Arial" w:hAnsi="Arial" w:cs="Arial"/>
                <w:sz w:val="24"/>
                <w:szCs w:val="24"/>
              </w:rPr>
            </w:pPr>
          </w:p>
          <w:p w14:paraId="6E058B37" w14:textId="5E247851" w:rsidR="00175F2C" w:rsidRPr="007F2497" w:rsidRDefault="00175F2C" w:rsidP="00CE10B1">
            <w:pPr>
              <w:spacing w:after="0"/>
              <w:jc w:val="both"/>
              <w:rPr>
                <w:rFonts w:ascii="Arial" w:hAnsi="Arial" w:cs="Arial"/>
                <w:sz w:val="24"/>
                <w:szCs w:val="24"/>
              </w:rPr>
            </w:pPr>
          </w:p>
        </w:tc>
      </w:tr>
      <w:tr w:rsidR="00B913D2" w:rsidRPr="00055BFA" w14:paraId="7809BE57" w14:textId="77777777" w:rsidTr="00055BFA">
        <w:tc>
          <w:tcPr>
            <w:tcW w:w="675" w:type="dxa"/>
          </w:tcPr>
          <w:p w14:paraId="48770021" w14:textId="77777777" w:rsidR="00B913D2" w:rsidRPr="00055BFA" w:rsidRDefault="005C173F" w:rsidP="00055BFA">
            <w:pPr>
              <w:spacing w:after="0"/>
              <w:rPr>
                <w:rFonts w:ascii="Arial" w:hAnsi="Arial" w:cs="Arial"/>
                <w:b/>
                <w:sz w:val="24"/>
                <w:szCs w:val="24"/>
              </w:rPr>
            </w:pPr>
            <w:r>
              <w:rPr>
                <w:rFonts w:ascii="Arial" w:hAnsi="Arial" w:cs="Arial"/>
                <w:b/>
                <w:sz w:val="24"/>
                <w:szCs w:val="24"/>
              </w:rPr>
              <w:lastRenderedPageBreak/>
              <w:t>4</w:t>
            </w:r>
            <w:r w:rsidR="00B913D2">
              <w:rPr>
                <w:rFonts w:ascii="Arial" w:hAnsi="Arial" w:cs="Arial"/>
                <w:b/>
                <w:sz w:val="24"/>
                <w:szCs w:val="24"/>
              </w:rPr>
              <w:t>.</w:t>
            </w:r>
          </w:p>
        </w:tc>
        <w:tc>
          <w:tcPr>
            <w:tcW w:w="8611" w:type="dxa"/>
          </w:tcPr>
          <w:p w14:paraId="184CDCD7" w14:textId="77777777" w:rsidR="00B913D2" w:rsidRPr="00683919" w:rsidRDefault="00B913D2" w:rsidP="009E19DB">
            <w:pPr>
              <w:spacing w:after="0"/>
              <w:jc w:val="both"/>
              <w:rPr>
                <w:rFonts w:ascii="Arial" w:hAnsi="Arial" w:cs="Arial"/>
                <w:b/>
                <w:sz w:val="24"/>
                <w:szCs w:val="24"/>
                <w:u w:val="single"/>
              </w:rPr>
            </w:pPr>
            <w:r w:rsidRPr="00683919">
              <w:rPr>
                <w:rFonts w:ascii="Arial" w:hAnsi="Arial" w:cs="Arial"/>
                <w:b/>
                <w:sz w:val="24"/>
                <w:szCs w:val="24"/>
                <w:u w:val="single"/>
              </w:rPr>
              <w:t>NEXT STEPS</w:t>
            </w:r>
          </w:p>
          <w:p w14:paraId="08B29980" w14:textId="77777777" w:rsidR="00B702B2" w:rsidRDefault="005243EB" w:rsidP="00670992">
            <w:pPr>
              <w:spacing w:after="0"/>
              <w:jc w:val="both"/>
              <w:rPr>
                <w:rFonts w:ascii="Arial" w:hAnsi="Arial" w:cs="Arial"/>
                <w:iCs/>
                <w:sz w:val="24"/>
                <w:szCs w:val="24"/>
              </w:rPr>
            </w:pPr>
            <w:r w:rsidRPr="00670992">
              <w:rPr>
                <w:rFonts w:ascii="Arial" w:hAnsi="Arial" w:cs="Arial"/>
                <w:iCs/>
                <w:sz w:val="24"/>
                <w:szCs w:val="24"/>
              </w:rPr>
              <w:t xml:space="preserve">There are </w:t>
            </w:r>
            <w:proofErr w:type="gramStart"/>
            <w:r w:rsidRPr="00670992">
              <w:rPr>
                <w:rFonts w:ascii="Arial" w:hAnsi="Arial" w:cs="Arial"/>
                <w:iCs/>
                <w:sz w:val="24"/>
                <w:szCs w:val="24"/>
              </w:rPr>
              <w:t>a number of</w:t>
            </w:r>
            <w:proofErr w:type="gramEnd"/>
            <w:r w:rsidRPr="00670992">
              <w:rPr>
                <w:rFonts w:ascii="Arial" w:hAnsi="Arial" w:cs="Arial"/>
                <w:iCs/>
                <w:sz w:val="24"/>
                <w:szCs w:val="24"/>
              </w:rPr>
              <w:t xml:space="preserve"> areas that need progressing over the next few years,</w:t>
            </w:r>
            <w:r w:rsidR="006874E2" w:rsidRPr="00670992">
              <w:rPr>
                <w:rFonts w:ascii="Arial" w:hAnsi="Arial" w:cs="Arial"/>
                <w:iCs/>
                <w:sz w:val="24"/>
                <w:szCs w:val="24"/>
              </w:rPr>
              <w:t xml:space="preserve"> all of which are contained in the action plan.  </w:t>
            </w:r>
            <w:r w:rsidR="00670992">
              <w:rPr>
                <w:rFonts w:ascii="Arial" w:hAnsi="Arial" w:cs="Arial"/>
                <w:iCs/>
                <w:sz w:val="24"/>
                <w:szCs w:val="24"/>
              </w:rPr>
              <w:t>These will be progressed as and when resourcing allows.</w:t>
            </w:r>
          </w:p>
          <w:p w14:paraId="69799303" w14:textId="15C9ECDC" w:rsidR="00670992" w:rsidRPr="003E7FA2" w:rsidRDefault="00670992" w:rsidP="00670992">
            <w:pPr>
              <w:spacing w:after="0"/>
              <w:jc w:val="both"/>
              <w:rPr>
                <w:rFonts w:ascii="Arial" w:hAnsi="Arial" w:cs="Arial"/>
                <w:iCs/>
                <w:sz w:val="24"/>
                <w:szCs w:val="24"/>
              </w:rPr>
            </w:pPr>
          </w:p>
        </w:tc>
      </w:tr>
      <w:tr w:rsidR="00D26302" w:rsidRPr="00055BFA" w14:paraId="539E0171" w14:textId="77777777" w:rsidTr="00055BFA">
        <w:tc>
          <w:tcPr>
            <w:tcW w:w="675" w:type="dxa"/>
          </w:tcPr>
          <w:p w14:paraId="28D81129" w14:textId="77777777" w:rsidR="00D26302" w:rsidRPr="00055BFA" w:rsidRDefault="005C173F" w:rsidP="00055BFA">
            <w:pPr>
              <w:spacing w:after="0"/>
              <w:rPr>
                <w:rFonts w:ascii="Arial" w:hAnsi="Arial" w:cs="Arial"/>
                <w:b/>
                <w:sz w:val="24"/>
                <w:szCs w:val="24"/>
              </w:rPr>
            </w:pPr>
            <w:r>
              <w:rPr>
                <w:rFonts w:ascii="Arial" w:hAnsi="Arial" w:cs="Arial"/>
                <w:b/>
                <w:sz w:val="24"/>
                <w:szCs w:val="24"/>
              </w:rPr>
              <w:t>5</w:t>
            </w:r>
            <w:r w:rsidR="00F8795E">
              <w:rPr>
                <w:rFonts w:ascii="Arial" w:hAnsi="Arial" w:cs="Arial"/>
                <w:b/>
                <w:sz w:val="24"/>
                <w:szCs w:val="24"/>
              </w:rPr>
              <w:t>.</w:t>
            </w:r>
          </w:p>
        </w:tc>
        <w:tc>
          <w:tcPr>
            <w:tcW w:w="8611" w:type="dxa"/>
          </w:tcPr>
          <w:p w14:paraId="0417079F" w14:textId="77777777" w:rsidR="00D26302" w:rsidRPr="00683919" w:rsidRDefault="00F8795E" w:rsidP="00055BFA">
            <w:pPr>
              <w:spacing w:after="0"/>
              <w:rPr>
                <w:rFonts w:ascii="Arial" w:hAnsi="Arial" w:cs="Arial"/>
                <w:b/>
                <w:sz w:val="24"/>
                <w:szCs w:val="24"/>
                <w:u w:val="single"/>
              </w:rPr>
            </w:pPr>
            <w:r w:rsidRPr="00683919">
              <w:rPr>
                <w:rFonts w:ascii="Arial" w:hAnsi="Arial" w:cs="Arial"/>
                <w:b/>
                <w:sz w:val="24"/>
                <w:szCs w:val="24"/>
                <w:u w:val="single"/>
              </w:rPr>
              <w:t>FINANCIAL CONSIDERATIONS</w:t>
            </w:r>
          </w:p>
          <w:p w14:paraId="028C1B4F" w14:textId="62A67164" w:rsidR="003E7FA2" w:rsidRPr="00683919" w:rsidRDefault="00366242" w:rsidP="00F90924">
            <w:pPr>
              <w:spacing w:after="0"/>
              <w:jc w:val="both"/>
              <w:rPr>
                <w:rFonts w:ascii="Arial" w:hAnsi="Arial" w:cs="Arial"/>
                <w:iCs/>
                <w:sz w:val="24"/>
                <w:szCs w:val="28"/>
              </w:rPr>
            </w:pPr>
            <w:r w:rsidRPr="00683919">
              <w:rPr>
                <w:rFonts w:ascii="Arial" w:hAnsi="Arial" w:cs="Arial"/>
                <w:iCs/>
                <w:sz w:val="24"/>
                <w:szCs w:val="28"/>
              </w:rPr>
              <w:t>I</w:t>
            </w:r>
            <w:r w:rsidR="00F55B85" w:rsidRPr="00683919">
              <w:rPr>
                <w:rFonts w:ascii="Arial" w:hAnsi="Arial" w:cs="Arial"/>
                <w:iCs/>
                <w:sz w:val="24"/>
                <w:szCs w:val="28"/>
              </w:rPr>
              <w:t>t must be noted that non-compliance</w:t>
            </w:r>
            <w:r w:rsidR="00CE10B1">
              <w:rPr>
                <w:rFonts w:ascii="Arial" w:hAnsi="Arial" w:cs="Arial"/>
                <w:iCs/>
                <w:sz w:val="24"/>
                <w:szCs w:val="28"/>
              </w:rPr>
              <w:t xml:space="preserve"> with data protection legislation</w:t>
            </w:r>
            <w:r w:rsidR="00F55B85" w:rsidRPr="00683919">
              <w:rPr>
                <w:rFonts w:ascii="Arial" w:hAnsi="Arial" w:cs="Arial"/>
                <w:iCs/>
                <w:sz w:val="24"/>
                <w:szCs w:val="28"/>
              </w:rPr>
              <w:t xml:space="preserve"> can result in fines being imposed by the </w:t>
            </w:r>
            <w:r w:rsidR="00F33771" w:rsidRPr="00683919">
              <w:rPr>
                <w:rFonts w:ascii="Arial" w:hAnsi="Arial" w:cs="Arial"/>
                <w:iCs/>
                <w:sz w:val="24"/>
                <w:szCs w:val="28"/>
              </w:rPr>
              <w:t>ICO</w:t>
            </w:r>
            <w:r w:rsidR="00F55B85" w:rsidRPr="00683919">
              <w:rPr>
                <w:rFonts w:ascii="Arial" w:hAnsi="Arial" w:cs="Arial"/>
                <w:iCs/>
                <w:sz w:val="24"/>
                <w:szCs w:val="28"/>
              </w:rPr>
              <w:t xml:space="preserve"> of up to £17.5million or 4% of turnover based on the preceding financial year, whichever is higher.  This indicates the importance of the resourcing issue in this area.</w:t>
            </w:r>
          </w:p>
          <w:p w14:paraId="5400502F" w14:textId="77777777" w:rsidR="007D2F59" w:rsidRPr="00683919" w:rsidRDefault="007D2F59" w:rsidP="00F90924">
            <w:pPr>
              <w:spacing w:after="0"/>
              <w:jc w:val="both"/>
              <w:rPr>
                <w:rFonts w:ascii="Arial" w:hAnsi="Arial" w:cs="Arial"/>
                <w:iCs/>
                <w:sz w:val="24"/>
                <w:szCs w:val="28"/>
              </w:rPr>
            </w:pPr>
          </w:p>
          <w:p w14:paraId="6632D0EC" w14:textId="2EF6547D" w:rsidR="003E7FA2" w:rsidRDefault="007068AB" w:rsidP="00366242">
            <w:pPr>
              <w:spacing w:after="0"/>
              <w:jc w:val="both"/>
              <w:rPr>
                <w:rFonts w:ascii="Arial" w:hAnsi="Arial" w:cs="Arial"/>
                <w:iCs/>
                <w:sz w:val="24"/>
                <w:szCs w:val="28"/>
              </w:rPr>
            </w:pPr>
            <w:r w:rsidRPr="00683919">
              <w:rPr>
                <w:rFonts w:ascii="Arial" w:hAnsi="Arial" w:cs="Arial"/>
                <w:iCs/>
                <w:sz w:val="24"/>
                <w:szCs w:val="28"/>
              </w:rPr>
              <w:t xml:space="preserve">Additional resources </w:t>
            </w:r>
            <w:r w:rsidR="00366242" w:rsidRPr="00683919">
              <w:rPr>
                <w:rFonts w:ascii="Arial" w:hAnsi="Arial" w:cs="Arial"/>
                <w:iCs/>
                <w:sz w:val="24"/>
                <w:szCs w:val="28"/>
              </w:rPr>
              <w:t>ha</w:t>
            </w:r>
            <w:r w:rsidR="000B6657" w:rsidRPr="00683919">
              <w:rPr>
                <w:rFonts w:ascii="Arial" w:hAnsi="Arial" w:cs="Arial"/>
                <w:iCs/>
                <w:sz w:val="24"/>
                <w:szCs w:val="28"/>
              </w:rPr>
              <w:t>ve</w:t>
            </w:r>
            <w:r w:rsidR="00366242" w:rsidRPr="00683919">
              <w:rPr>
                <w:rFonts w:ascii="Arial" w:hAnsi="Arial" w:cs="Arial"/>
                <w:iCs/>
                <w:sz w:val="24"/>
                <w:szCs w:val="28"/>
              </w:rPr>
              <w:t xml:space="preserve"> been requested</w:t>
            </w:r>
            <w:r w:rsidRPr="00683919">
              <w:rPr>
                <w:rFonts w:ascii="Arial" w:hAnsi="Arial" w:cs="Arial"/>
                <w:iCs/>
                <w:sz w:val="24"/>
                <w:szCs w:val="28"/>
              </w:rPr>
              <w:t xml:space="preserve"> to support the OPCC in becoming compliant with the UK GDPR</w:t>
            </w:r>
            <w:r w:rsidR="00871672" w:rsidRPr="00683919">
              <w:rPr>
                <w:rFonts w:ascii="Arial" w:hAnsi="Arial" w:cs="Arial"/>
                <w:iCs/>
                <w:sz w:val="24"/>
                <w:szCs w:val="28"/>
              </w:rPr>
              <w:t xml:space="preserve">.  </w:t>
            </w:r>
            <w:r w:rsidR="00683919" w:rsidRPr="00683919">
              <w:rPr>
                <w:rFonts w:ascii="Arial" w:hAnsi="Arial" w:cs="Arial"/>
                <w:iCs/>
                <w:sz w:val="24"/>
                <w:szCs w:val="28"/>
              </w:rPr>
              <w:t>Once the action plan has been worked through, those areas requiring further support will be highlighted with a view to appointing a consultant to provide guidance.</w:t>
            </w:r>
          </w:p>
          <w:p w14:paraId="3D881DD7" w14:textId="77777777" w:rsidR="00CE10B1" w:rsidRDefault="00CE10B1" w:rsidP="00366242">
            <w:pPr>
              <w:spacing w:after="0"/>
              <w:jc w:val="both"/>
              <w:rPr>
                <w:rFonts w:ascii="Arial" w:hAnsi="Arial" w:cs="Arial"/>
                <w:iCs/>
                <w:sz w:val="24"/>
                <w:szCs w:val="28"/>
              </w:rPr>
            </w:pPr>
          </w:p>
          <w:p w14:paraId="33DF993A" w14:textId="5340FB16" w:rsidR="00CE10B1" w:rsidRPr="00366242" w:rsidRDefault="00CE10B1" w:rsidP="00366242">
            <w:pPr>
              <w:spacing w:after="0"/>
              <w:jc w:val="both"/>
              <w:rPr>
                <w:rFonts w:ascii="Arial" w:hAnsi="Arial" w:cs="Arial"/>
                <w:iCs/>
                <w:sz w:val="24"/>
                <w:szCs w:val="28"/>
              </w:rPr>
            </w:pPr>
            <w:r w:rsidRPr="00732A4A">
              <w:rPr>
                <w:rFonts w:ascii="Arial" w:hAnsi="Arial" w:cs="Arial"/>
                <w:sz w:val="24"/>
                <w:szCs w:val="24"/>
              </w:rPr>
              <w:t>All FOIA requests must be responded to free of charge unless it is estimated that providing the information will cost more than the acceptable limit of £400 (£25 per hour/18 hours) (although we are able to charge for items such as postage and photocopying).</w:t>
            </w:r>
            <w:r>
              <w:rPr>
                <w:rFonts w:ascii="Arial" w:hAnsi="Arial" w:cs="Arial"/>
                <w:sz w:val="24"/>
                <w:szCs w:val="24"/>
              </w:rPr>
              <w:t xml:space="preserve">  </w:t>
            </w:r>
            <w:r w:rsidRPr="00732A4A">
              <w:rPr>
                <w:rFonts w:ascii="Arial" w:hAnsi="Arial" w:cs="Arial"/>
                <w:sz w:val="24"/>
                <w:szCs w:val="24"/>
              </w:rPr>
              <w:t>No charges were made in relation to FOIA requests in 202</w:t>
            </w:r>
            <w:r>
              <w:rPr>
                <w:rFonts w:ascii="Arial" w:hAnsi="Arial" w:cs="Arial"/>
                <w:sz w:val="24"/>
                <w:szCs w:val="24"/>
              </w:rPr>
              <w:t>4</w:t>
            </w:r>
            <w:r w:rsidRPr="00732A4A">
              <w:rPr>
                <w:rFonts w:ascii="Arial" w:hAnsi="Arial" w:cs="Arial"/>
                <w:sz w:val="24"/>
                <w:szCs w:val="24"/>
              </w:rPr>
              <w:t>/2</w:t>
            </w:r>
            <w:r>
              <w:rPr>
                <w:rFonts w:ascii="Arial" w:hAnsi="Arial" w:cs="Arial"/>
                <w:sz w:val="24"/>
                <w:szCs w:val="24"/>
              </w:rPr>
              <w:t>5</w:t>
            </w:r>
            <w:r w:rsidRPr="00732A4A">
              <w:rPr>
                <w:rFonts w:ascii="Arial" w:hAnsi="Arial" w:cs="Arial"/>
                <w:sz w:val="24"/>
                <w:szCs w:val="24"/>
              </w:rPr>
              <w:t>.</w:t>
            </w:r>
          </w:p>
          <w:p w14:paraId="44823E54" w14:textId="61F3EF5E" w:rsidR="00366242" w:rsidRPr="006874E2" w:rsidRDefault="00366242" w:rsidP="00366242">
            <w:pPr>
              <w:spacing w:after="0"/>
              <w:jc w:val="both"/>
              <w:rPr>
                <w:rFonts w:ascii="Arial" w:hAnsi="Arial" w:cs="Arial"/>
                <w:iCs/>
                <w:sz w:val="24"/>
                <w:szCs w:val="24"/>
                <w:highlight w:val="yellow"/>
              </w:rPr>
            </w:pPr>
          </w:p>
        </w:tc>
      </w:tr>
      <w:tr w:rsidR="00F8795E" w:rsidRPr="00055BFA" w14:paraId="36A9DAC5" w14:textId="77777777" w:rsidTr="00055BFA">
        <w:tc>
          <w:tcPr>
            <w:tcW w:w="675" w:type="dxa"/>
          </w:tcPr>
          <w:p w14:paraId="6FAA3F96" w14:textId="77777777" w:rsidR="00F8795E" w:rsidRDefault="005C173F" w:rsidP="00055BFA">
            <w:pPr>
              <w:spacing w:after="0"/>
              <w:rPr>
                <w:rFonts w:ascii="Arial" w:hAnsi="Arial" w:cs="Arial"/>
                <w:b/>
                <w:sz w:val="24"/>
                <w:szCs w:val="24"/>
              </w:rPr>
            </w:pPr>
            <w:r>
              <w:rPr>
                <w:rFonts w:ascii="Arial" w:hAnsi="Arial" w:cs="Arial"/>
                <w:b/>
                <w:sz w:val="24"/>
                <w:szCs w:val="24"/>
              </w:rPr>
              <w:t>6</w:t>
            </w:r>
            <w:r w:rsidR="00F8795E">
              <w:rPr>
                <w:rFonts w:ascii="Arial" w:hAnsi="Arial" w:cs="Arial"/>
                <w:b/>
                <w:sz w:val="24"/>
                <w:szCs w:val="24"/>
              </w:rPr>
              <w:t>.</w:t>
            </w:r>
          </w:p>
        </w:tc>
        <w:tc>
          <w:tcPr>
            <w:tcW w:w="8611" w:type="dxa"/>
          </w:tcPr>
          <w:p w14:paraId="71566123" w14:textId="3C32AEA6" w:rsidR="00F8795E" w:rsidRPr="00683919" w:rsidRDefault="00F8795E" w:rsidP="00055BFA">
            <w:pPr>
              <w:spacing w:after="0"/>
              <w:rPr>
                <w:rFonts w:ascii="Arial" w:hAnsi="Arial" w:cs="Arial"/>
                <w:b/>
                <w:sz w:val="24"/>
                <w:szCs w:val="24"/>
                <w:u w:val="single"/>
              </w:rPr>
            </w:pPr>
            <w:r w:rsidRPr="00683919">
              <w:rPr>
                <w:rFonts w:ascii="Arial" w:hAnsi="Arial" w:cs="Arial"/>
                <w:b/>
                <w:sz w:val="24"/>
                <w:szCs w:val="24"/>
                <w:u w:val="single"/>
              </w:rPr>
              <w:t>PERSO</w:t>
            </w:r>
            <w:r w:rsidR="00A262EF" w:rsidRPr="00683919">
              <w:rPr>
                <w:rFonts w:ascii="Arial" w:hAnsi="Arial" w:cs="Arial"/>
                <w:b/>
                <w:sz w:val="24"/>
                <w:szCs w:val="24"/>
                <w:u w:val="single"/>
              </w:rPr>
              <w:t>N</w:t>
            </w:r>
            <w:r w:rsidRPr="00683919">
              <w:rPr>
                <w:rFonts w:ascii="Arial" w:hAnsi="Arial" w:cs="Arial"/>
                <w:b/>
                <w:sz w:val="24"/>
                <w:szCs w:val="24"/>
                <w:u w:val="single"/>
              </w:rPr>
              <w:t>N</w:t>
            </w:r>
            <w:r w:rsidR="00A262EF" w:rsidRPr="00683919">
              <w:rPr>
                <w:rFonts w:ascii="Arial" w:hAnsi="Arial" w:cs="Arial"/>
                <w:b/>
                <w:sz w:val="24"/>
                <w:szCs w:val="24"/>
                <w:u w:val="single"/>
              </w:rPr>
              <w:t>E</w:t>
            </w:r>
            <w:r w:rsidRPr="00683919">
              <w:rPr>
                <w:rFonts w:ascii="Arial" w:hAnsi="Arial" w:cs="Arial"/>
                <w:b/>
                <w:sz w:val="24"/>
                <w:szCs w:val="24"/>
                <w:u w:val="single"/>
              </w:rPr>
              <w:t>L CONSIDERATION</w:t>
            </w:r>
            <w:r w:rsidR="00A262EF" w:rsidRPr="00683919">
              <w:rPr>
                <w:rFonts w:ascii="Arial" w:hAnsi="Arial" w:cs="Arial"/>
                <w:b/>
                <w:sz w:val="24"/>
                <w:szCs w:val="24"/>
                <w:u w:val="single"/>
              </w:rPr>
              <w:t>S</w:t>
            </w:r>
          </w:p>
          <w:p w14:paraId="42982F55" w14:textId="77777777" w:rsidR="008D7F51" w:rsidRPr="00683919" w:rsidRDefault="008D7F51" w:rsidP="008D7F51">
            <w:pPr>
              <w:spacing w:after="0"/>
              <w:jc w:val="both"/>
              <w:rPr>
                <w:rFonts w:ascii="Arial" w:hAnsi="Arial" w:cs="Arial"/>
                <w:b/>
                <w:bCs/>
                <w:sz w:val="24"/>
                <w:szCs w:val="24"/>
              </w:rPr>
            </w:pPr>
            <w:r w:rsidRPr="00683919">
              <w:rPr>
                <w:rFonts w:ascii="Arial" w:hAnsi="Arial" w:cs="Arial"/>
                <w:b/>
                <w:bCs/>
                <w:sz w:val="24"/>
                <w:szCs w:val="24"/>
              </w:rPr>
              <w:t>Role of the Data Protection Officer</w:t>
            </w:r>
          </w:p>
          <w:p w14:paraId="6CE6400B" w14:textId="1C32337D" w:rsidR="008D7F51" w:rsidRPr="00683919" w:rsidRDefault="008D7F51" w:rsidP="008D7F51">
            <w:pPr>
              <w:spacing w:after="0"/>
              <w:jc w:val="both"/>
              <w:rPr>
                <w:rFonts w:ascii="Arial" w:eastAsia="Times New Roman" w:hAnsi="Arial" w:cs="Arial"/>
                <w:sz w:val="24"/>
                <w:szCs w:val="24"/>
                <w:lang w:eastAsia="en-GB"/>
              </w:rPr>
            </w:pPr>
            <w:r w:rsidRPr="00683919">
              <w:rPr>
                <w:rFonts w:ascii="Arial" w:eastAsia="Times New Roman" w:hAnsi="Arial" w:cs="Arial"/>
                <w:sz w:val="24"/>
                <w:szCs w:val="24"/>
                <w:lang w:eastAsia="en-GB"/>
              </w:rPr>
              <w:t>The DPO assists the controller in all issues relating to the protection of personal data. In particular, the DPO must:</w:t>
            </w:r>
          </w:p>
          <w:p w14:paraId="3587B5B1" w14:textId="77777777" w:rsidR="008D7F51" w:rsidRPr="00683919" w:rsidRDefault="008D7F51" w:rsidP="008D7F51">
            <w:pPr>
              <w:pStyle w:val="ListParagraph"/>
              <w:numPr>
                <w:ilvl w:val="0"/>
                <w:numId w:val="10"/>
              </w:numPr>
              <w:spacing w:after="0"/>
              <w:jc w:val="both"/>
              <w:rPr>
                <w:rFonts w:ascii="Arial" w:eastAsia="Times New Roman" w:hAnsi="Arial" w:cs="Arial"/>
                <w:sz w:val="24"/>
                <w:szCs w:val="24"/>
                <w:lang w:eastAsia="en-GB"/>
              </w:rPr>
            </w:pPr>
            <w:r w:rsidRPr="00683919">
              <w:rPr>
                <w:rFonts w:ascii="Arial" w:eastAsia="Times New Roman" w:hAnsi="Arial" w:cs="Arial"/>
                <w:sz w:val="24"/>
                <w:szCs w:val="24"/>
                <w:lang w:eastAsia="en-GB"/>
              </w:rPr>
              <w:t xml:space="preserve">inform and advise the controller or processor, as well as their employees, of their obligations under data protection </w:t>
            </w:r>
            <w:proofErr w:type="gramStart"/>
            <w:r w:rsidRPr="00683919">
              <w:rPr>
                <w:rFonts w:ascii="Arial" w:eastAsia="Times New Roman" w:hAnsi="Arial" w:cs="Arial"/>
                <w:sz w:val="24"/>
                <w:szCs w:val="24"/>
                <w:lang w:eastAsia="en-GB"/>
              </w:rPr>
              <w:t>law;</w:t>
            </w:r>
            <w:proofErr w:type="gramEnd"/>
          </w:p>
          <w:p w14:paraId="56F1EBC8" w14:textId="77777777" w:rsidR="008D7F51" w:rsidRPr="00683919" w:rsidRDefault="008D7F51" w:rsidP="008D7F51">
            <w:pPr>
              <w:pStyle w:val="ListParagraph"/>
              <w:numPr>
                <w:ilvl w:val="0"/>
                <w:numId w:val="10"/>
              </w:numPr>
              <w:spacing w:after="0"/>
              <w:jc w:val="both"/>
              <w:rPr>
                <w:rFonts w:ascii="Arial" w:eastAsia="Times New Roman" w:hAnsi="Arial" w:cs="Arial"/>
                <w:sz w:val="24"/>
                <w:szCs w:val="24"/>
                <w:lang w:eastAsia="en-GB"/>
              </w:rPr>
            </w:pPr>
            <w:r w:rsidRPr="00683919">
              <w:rPr>
                <w:rFonts w:ascii="Arial" w:eastAsia="Times New Roman" w:hAnsi="Arial" w:cs="Arial"/>
                <w:sz w:val="24"/>
                <w:szCs w:val="24"/>
                <w:lang w:eastAsia="en-GB"/>
              </w:rPr>
              <w:t xml:space="preserve">monitor compliance of the organisation with all legislation in relation to data protection, including in audits, awareness-raising activities as well as training of staff involved in processing </w:t>
            </w:r>
            <w:proofErr w:type="gramStart"/>
            <w:r w:rsidRPr="00683919">
              <w:rPr>
                <w:rFonts w:ascii="Arial" w:eastAsia="Times New Roman" w:hAnsi="Arial" w:cs="Arial"/>
                <w:sz w:val="24"/>
                <w:szCs w:val="24"/>
                <w:lang w:eastAsia="en-GB"/>
              </w:rPr>
              <w:t>operations;</w:t>
            </w:r>
            <w:proofErr w:type="gramEnd"/>
            <w:r w:rsidRPr="00683919">
              <w:rPr>
                <w:rFonts w:ascii="Arial" w:eastAsia="Times New Roman" w:hAnsi="Arial" w:cs="Arial"/>
                <w:sz w:val="24"/>
                <w:szCs w:val="24"/>
                <w:lang w:eastAsia="en-GB"/>
              </w:rPr>
              <w:t xml:space="preserve"> </w:t>
            </w:r>
          </w:p>
          <w:p w14:paraId="4A52BC82" w14:textId="77777777" w:rsidR="008D7F51" w:rsidRPr="00683919" w:rsidRDefault="008D7F51" w:rsidP="008D7F51">
            <w:pPr>
              <w:pStyle w:val="ListParagraph"/>
              <w:numPr>
                <w:ilvl w:val="0"/>
                <w:numId w:val="10"/>
              </w:numPr>
              <w:spacing w:after="0"/>
              <w:jc w:val="both"/>
              <w:rPr>
                <w:rFonts w:ascii="Arial" w:eastAsia="Times New Roman" w:hAnsi="Arial" w:cs="Arial"/>
                <w:sz w:val="24"/>
                <w:szCs w:val="24"/>
                <w:lang w:eastAsia="en-GB"/>
              </w:rPr>
            </w:pPr>
            <w:r w:rsidRPr="00683919">
              <w:rPr>
                <w:rFonts w:ascii="Arial" w:eastAsia="Times New Roman" w:hAnsi="Arial" w:cs="Arial"/>
                <w:sz w:val="24"/>
                <w:szCs w:val="24"/>
                <w:lang w:eastAsia="en-GB"/>
              </w:rPr>
              <w:t xml:space="preserve">provide advice where a Data Protection Impact Assessment (DPIA) has been carried out and monitor its </w:t>
            </w:r>
            <w:proofErr w:type="gramStart"/>
            <w:r w:rsidRPr="00683919">
              <w:rPr>
                <w:rFonts w:ascii="Arial" w:eastAsia="Times New Roman" w:hAnsi="Arial" w:cs="Arial"/>
                <w:sz w:val="24"/>
                <w:szCs w:val="24"/>
                <w:lang w:eastAsia="en-GB"/>
              </w:rPr>
              <w:t>performance;</w:t>
            </w:r>
            <w:proofErr w:type="gramEnd"/>
          </w:p>
          <w:p w14:paraId="5756949E" w14:textId="77777777" w:rsidR="008D7F51" w:rsidRPr="00683919" w:rsidRDefault="008D7F51" w:rsidP="008D7F51">
            <w:pPr>
              <w:pStyle w:val="ListParagraph"/>
              <w:numPr>
                <w:ilvl w:val="0"/>
                <w:numId w:val="10"/>
              </w:numPr>
              <w:spacing w:after="0"/>
              <w:jc w:val="both"/>
              <w:rPr>
                <w:rFonts w:ascii="Arial" w:eastAsia="Times New Roman" w:hAnsi="Arial" w:cs="Arial"/>
                <w:sz w:val="24"/>
                <w:szCs w:val="24"/>
                <w:lang w:eastAsia="en-GB"/>
              </w:rPr>
            </w:pPr>
            <w:r w:rsidRPr="00683919">
              <w:rPr>
                <w:rFonts w:ascii="Arial" w:eastAsia="Times New Roman" w:hAnsi="Arial" w:cs="Arial"/>
                <w:sz w:val="24"/>
                <w:szCs w:val="24"/>
                <w:lang w:eastAsia="en-GB"/>
              </w:rPr>
              <w:t xml:space="preserve">act as a contact point for requests from individuals regarding the processing of their personal data and the exercise of their </w:t>
            </w:r>
            <w:proofErr w:type="gramStart"/>
            <w:r w:rsidRPr="00683919">
              <w:rPr>
                <w:rFonts w:ascii="Arial" w:eastAsia="Times New Roman" w:hAnsi="Arial" w:cs="Arial"/>
                <w:sz w:val="24"/>
                <w:szCs w:val="24"/>
                <w:lang w:eastAsia="en-GB"/>
              </w:rPr>
              <w:t>rights;</w:t>
            </w:r>
            <w:proofErr w:type="gramEnd"/>
          </w:p>
          <w:p w14:paraId="2D667A5B" w14:textId="1EB173B2" w:rsidR="008D7F51" w:rsidRPr="00683919" w:rsidRDefault="008D7F51" w:rsidP="008D7F51">
            <w:pPr>
              <w:pStyle w:val="ListParagraph"/>
              <w:numPr>
                <w:ilvl w:val="0"/>
                <w:numId w:val="10"/>
              </w:numPr>
              <w:spacing w:after="0"/>
              <w:jc w:val="both"/>
              <w:rPr>
                <w:rFonts w:ascii="Arial" w:eastAsia="Times New Roman" w:hAnsi="Arial" w:cs="Arial"/>
                <w:sz w:val="24"/>
                <w:szCs w:val="24"/>
                <w:lang w:eastAsia="en-GB"/>
              </w:rPr>
            </w:pPr>
            <w:r w:rsidRPr="00683919">
              <w:rPr>
                <w:rFonts w:ascii="Arial" w:eastAsia="Times New Roman" w:hAnsi="Arial" w:cs="Arial"/>
                <w:sz w:val="24"/>
                <w:szCs w:val="24"/>
                <w:lang w:eastAsia="en-GB"/>
              </w:rPr>
              <w:t xml:space="preserve">cooperate with the Information Commissioner’s Office (ICO) and act as a contact point for the ICO on issues relating to </w:t>
            </w:r>
            <w:proofErr w:type="gramStart"/>
            <w:r w:rsidRPr="00683919">
              <w:rPr>
                <w:rFonts w:ascii="Arial" w:eastAsia="Times New Roman" w:hAnsi="Arial" w:cs="Arial"/>
                <w:sz w:val="24"/>
                <w:szCs w:val="24"/>
                <w:lang w:eastAsia="en-GB"/>
              </w:rPr>
              <w:t>processing;</w:t>
            </w:r>
            <w:proofErr w:type="gramEnd"/>
          </w:p>
          <w:p w14:paraId="4F70B7F8" w14:textId="77777777" w:rsidR="008D7F51" w:rsidRPr="00683919" w:rsidRDefault="008D7F51" w:rsidP="008D7F51">
            <w:pPr>
              <w:shd w:val="clear" w:color="auto" w:fill="FFFFFF"/>
              <w:spacing w:before="120" w:after="0" w:line="240" w:lineRule="auto"/>
              <w:jc w:val="both"/>
              <w:rPr>
                <w:rFonts w:ascii="Arial" w:eastAsia="Times New Roman" w:hAnsi="Arial" w:cs="Arial"/>
                <w:sz w:val="24"/>
                <w:szCs w:val="24"/>
                <w:lang w:eastAsia="en-GB"/>
              </w:rPr>
            </w:pPr>
            <w:r w:rsidRPr="00683919">
              <w:rPr>
                <w:rFonts w:ascii="Arial" w:eastAsia="Times New Roman" w:hAnsi="Arial" w:cs="Arial"/>
                <w:sz w:val="24"/>
                <w:szCs w:val="24"/>
                <w:lang w:eastAsia="en-GB"/>
              </w:rPr>
              <w:t>The organisation must involve the DPO in a timely manner. The DPO must not receive any instructions from the controller for the exercise of their tasks. The DPO must also report directly to the highest level of management of the organisation.</w:t>
            </w:r>
          </w:p>
          <w:p w14:paraId="3361D07F" w14:textId="77777777" w:rsidR="008D7F51" w:rsidRPr="00683919" w:rsidRDefault="008D7F51" w:rsidP="00FE10E3">
            <w:pPr>
              <w:spacing w:after="0"/>
              <w:jc w:val="both"/>
              <w:rPr>
                <w:rFonts w:ascii="Arial" w:hAnsi="Arial" w:cs="Arial"/>
                <w:bCs/>
                <w:sz w:val="24"/>
                <w:szCs w:val="24"/>
              </w:rPr>
            </w:pPr>
          </w:p>
          <w:p w14:paraId="295608D2" w14:textId="249CCEB8" w:rsidR="00FE10E3" w:rsidRDefault="009C5367" w:rsidP="00FE10E3">
            <w:pPr>
              <w:spacing w:after="0"/>
              <w:jc w:val="both"/>
              <w:rPr>
                <w:rFonts w:ascii="Arial" w:hAnsi="Arial" w:cs="Arial"/>
                <w:bCs/>
                <w:sz w:val="24"/>
                <w:szCs w:val="24"/>
              </w:rPr>
            </w:pPr>
            <w:r w:rsidRPr="00683919">
              <w:rPr>
                <w:rFonts w:ascii="Arial" w:hAnsi="Arial" w:cs="Arial"/>
                <w:bCs/>
                <w:sz w:val="24"/>
                <w:szCs w:val="24"/>
              </w:rPr>
              <w:t xml:space="preserve">The role of the DPO is undertaken by the HoAC with support built into the </w:t>
            </w:r>
            <w:r w:rsidR="00FE10E3" w:rsidRPr="00683919">
              <w:rPr>
                <w:rFonts w:ascii="Arial" w:hAnsi="Arial" w:cs="Arial"/>
                <w:bCs/>
                <w:sz w:val="24"/>
                <w:szCs w:val="24"/>
              </w:rPr>
              <w:t>Governance Officer role. Both job descriptions have</w:t>
            </w:r>
            <w:r w:rsidR="00977466" w:rsidRPr="00683919">
              <w:rPr>
                <w:rFonts w:ascii="Arial" w:hAnsi="Arial" w:cs="Arial"/>
                <w:bCs/>
                <w:sz w:val="24"/>
                <w:szCs w:val="24"/>
              </w:rPr>
              <w:t xml:space="preserve"> other key</w:t>
            </w:r>
            <w:r w:rsidR="00FE10E3" w:rsidRPr="00683919">
              <w:rPr>
                <w:rFonts w:ascii="Arial" w:hAnsi="Arial" w:cs="Arial"/>
                <w:bCs/>
                <w:sz w:val="24"/>
                <w:szCs w:val="24"/>
              </w:rPr>
              <w:t xml:space="preserve"> responsibilities</w:t>
            </w:r>
            <w:r w:rsidR="007E4957" w:rsidRPr="00683919">
              <w:rPr>
                <w:rFonts w:ascii="Arial" w:hAnsi="Arial" w:cs="Arial"/>
                <w:bCs/>
                <w:sz w:val="24"/>
                <w:szCs w:val="24"/>
              </w:rPr>
              <w:t xml:space="preserve"> </w:t>
            </w:r>
            <w:r w:rsidR="008D4F18" w:rsidRPr="00683919">
              <w:rPr>
                <w:rFonts w:ascii="Arial" w:hAnsi="Arial" w:cs="Arial"/>
                <w:bCs/>
                <w:sz w:val="24"/>
                <w:szCs w:val="24"/>
              </w:rPr>
              <w:t xml:space="preserve">hence the </w:t>
            </w:r>
            <w:r w:rsidR="009D5B87">
              <w:rPr>
                <w:rFonts w:ascii="Arial" w:hAnsi="Arial" w:cs="Arial"/>
                <w:bCs/>
                <w:sz w:val="24"/>
                <w:szCs w:val="24"/>
              </w:rPr>
              <w:t xml:space="preserve">previous </w:t>
            </w:r>
            <w:r w:rsidR="008D4F18" w:rsidRPr="00683919">
              <w:rPr>
                <w:rFonts w:ascii="Arial" w:hAnsi="Arial" w:cs="Arial"/>
                <w:bCs/>
                <w:sz w:val="24"/>
                <w:szCs w:val="24"/>
              </w:rPr>
              <w:t>request for additional support</w:t>
            </w:r>
            <w:r w:rsidR="00FE10E3" w:rsidRPr="00683919">
              <w:rPr>
                <w:rFonts w:ascii="Arial" w:hAnsi="Arial" w:cs="Arial"/>
                <w:bCs/>
                <w:sz w:val="24"/>
                <w:szCs w:val="24"/>
              </w:rPr>
              <w:t xml:space="preserve"> to ensure compliance.  </w:t>
            </w:r>
          </w:p>
          <w:p w14:paraId="7DED9313" w14:textId="77777777" w:rsidR="00DE654B" w:rsidRPr="00683919" w:rsidRDefault="00DE654B" w:rsidP="00FE10E3">
            <w:pPr>
              <w:spacing w:after="0"/>
              <w:jc w:val="both"/>
              <w:rPr>
                <w:rFonts w:ascii="Arial" w:hAnsi="Arial" w:cs="Arial"/>
                <w:bCs/>
                <w:sz w:val="24"/>
                <w:szCs w:val="24"/>
              </w:rPr>
            </w:pPr>
          </w:p>
          <w:p w14:paraId="58F140CF" w14:textId="551838E5" w:rsidR="00871672" w:rsidRPr="00683919" w:rsidRDefault="009D5B87" w:rsidP="00FE10E3">
            <w:pPr>
              <w:spacing w:after="0"/>
              <w:jc w:val="both"/>
              <w:rPr>
                <w:rFonts w:ascii="Arial" w:hAnsi="Arial" w:cs="Arial"/>
                <w:bCs/>
                <w:sz w:val="24"/>
                <w:szCs w:val="24"/>
              </w:rPr>
            </w:pPr>
            <w:r w:rsidRPr="00DE654B">
              <w:rPr>
                <w:rFonts w:ascii="Arial" w:hAnsi="Arial" w:cs="Arial"/>
                <w:bCs/>
                <w:sz w:val="24"/>
                <w:szCs w:val="24"/>
              </w:rPr>
              <w:lastRenderedPageBreak/>
              <w:t>Th</w:t>
            </w:r>
            <w:r w:rsidR="00871672" w:rsidRPr="00DE654B">
              <w:rPr>
                <w:rFonts w:ascii="Arial" w:hAnsi="Arial" w:cs="Arial"/>
                <w:bCs/>
                <w:sz w:val="24"/>
                <w:szCs w:val="24"/>
              </w:rPr>
              <w:t xml:space="preserve">e DPO has not been available to progress work in this area to the extent required.  </w:t>
            </w:r>
            <w:r w:rsidR="00792DA0" w:rsidRPr="00DE654B">
              <w:rPr>
                <w:rFonts w:ascii="Arial" w:hAnsi="Arial" w:cs="Arial"/>
                <w:bCs/>
                <w:sz w:val="24"/>
                <w:szCs w:val="24"/>
              </w:rPr>
              <w:t>This</w:t>
            </w:r>
            <w:r w:rsidR="00871672" w:rsidRPr="00DE654B">
              <w:rPr>
                <w:rFonts w:ascii="Arial" w:hAnsi="Arial" w:cs="Arial"/>
                <w:bCs/>
                <w:sz w:val="24"/>
                <w:szCs w:val="24"/>
              </w:rPr>
              <w:t xml:space="preserve"> will continue to be monitored into 202</w:t>
            </w:r>
            <w:r w:rsidR="00792DA0" w:rsidRPr="00DE654B">
              <w:rPr>
                <w:rFonts w:ascii="Arial" w:hAnsi="Arial" w:cs="Arial"/>
                <w:bCs/>
                <w:sz w:val="24"/>
                <w:szCs w:val="24"/>
              </w:rPr>
              <w:t>5</w:t>
            </w:r>
            <w:r w:rsidR="00871672" w:rsidRPr="00DE654B">
              <w:rPr>
                <w:rFonts w:ascii="Arial" w:hAnsi="Arial" w:cs="Arial"/>
                <w:bCs/>
                <w:sz w:val="24"/>
                <w:szCs w:val="24"/>
              </w:rPr>
              <w:t>/2</w:t>
            </w:r>
            <w:r w:rsidR="00792DA0" w:rsidRPr="00DE654B">
              <w:rPr>
                <w:rFonts w:ascii="Arial" w:hAnsi="Arial" w:cs="Arial"/>
                <w:bCs/>
                <w:sz w:val="24"/>
                <w:szCs w:val="24"/>
              </w:rPr>
              <w:t>6</w:t>
            </w:r>
            <w:r w:rsidR="00683919" w:rsidRPr="00DE654B">
              <w:rPr>
                <w:rFonts w:ascii="Arial" w:hAnsi="Arial" w:cs="Arial"/>
                <w:bCs/>
                <w:sz w:val="24"/>
                <w:szCs w:val="24"/>
              </w:rPr>
              <w:t>.</w:t>
            </w:r>
          </w:p>
          <w:p w14:paraId="7A4289E8" w14:textId="77777777" w:rsidR="00FE10E3" w:rsidRPr="00683919" w:rsidRDefault="00FE10E3" w:rsidP="00FE10E3">
            <w:pPr>
              <w:spacing w:after="0"/>
              <w:jc w:val="both"/>
              <w:rPr>
                <w:rFonts w:ascii="Arial" w:hAnsi="Arial" w:cs="Arial"/>
                <w:bCs/>
                <w:sz w:val="24"/>
                <w:szCs w:val="24"/>
              </w:rPr>
            </w:pPr>
          </w:p>
          <w:p w14:paraId="21EB4586" w14:textId="64659A68" w:rsidR="00871672" w:rsidRDefault="00FE10E3" w:rsidP="005A4ABD">
            <w:pPr>
              <w:spacing w:after="0"/>
              <w:jc w:val="both"/>
              <w:rPr>
                <w:rFonts w:ascii="Arial" w:hAnsi="Arial" w:cs="Arial"/>
                <w:bCs/>
                <w:sz w:val="24"/>
                <w:szCs w:val="24"/>
              </w:rPr>
            </w:pPr>
            <w:r w:rsidRPr="00792DA0">
              <w:rPr>
                <w:rFonts w:ascii="Arial" w:hAnsi="Arial" w:cs="Arial"/>
                <w:bCs/>
                <w:sz w:val="24"/>
                <w:szCs w:val="24"/>
              </w:rPr>
              <w:t xml:space="preserve">Advice sought from the DPO can sometimes be complex and requires further research/work.  The DPO is also required to be an ‘expert’ in this area which </w:t>
            </w:r>
            <w:r w:rsidR="00167315" w:rsidRPr="00792DA0">
              <w:rPr>
                <w:rFonts w:ascii="Arial" w:hAnsi="Arial" w:cs="Arial"/>
                <w:bCs/>
                <w:sz w:val="24"/>
                <w:szCs w:val="24"/>
              </w:rPr>
              <w:t>can present a challenge due to it not being a dedicated role</w:t>
            </w:r>
            <w:r w:rsidRPr="00792DA0">
              <w:rPr>
                <w:rFonts w:ascii="Arial" w:hAnsi="Arial" w:cs="Arial"/>
                <w:bCs/>
                <w:sz w:val="24"/>
                <w:szCs w:val="24"/>
              </w:rPr>
              <w:t>.  The DPO</w:t>
            </w:r>
            <w:r w:rsidR="00792DA0" w:rsidRPr="00792DA0">
              <w:rPr>
                <w:rFonts w:ascii="Arial" w:hAnsi="Arial" w:cs="Arial"/>
                <w:bCs/>
                <w:sz w:val="24"/>
                <w:szCs w:val="24"/>
              </w:rPr>
              <w:t>, when able, will progress work to put in place</w:t>
            </w:r>
            <w:r w:rsidR="00977466" w:rsidRPr="00792DA0">
              <w:rPr>
                <w:rFonts w:ascii="Arial" w:hAnsi="Arial" w:cs="Arial"/>
                <w:bCs/>
                <w:sz w:val="24"/>
                <w:szCs w:val="24"/>
              </w:rPr>
              <w:t xml:space="preserve"> </w:t>
            </w:r>
            <w:r w:rsidRPr="00792DA0">
              <w:rPr>
                <w:rFonts w:ascii="Arial" w:hAnsi="Arial" w:cs="Arial"/>
                <w:bCs/>
                <w:sz w:val="24"/>
                <w:szCs w:val="24"/>
              </w:rPr>
              <w:t xml:space="preserve">a contract with an external provider, to provide advice and guidance to the DPO for the complex tasks that may arise.  </w:t>
            </w:r>
            <w:r w:rsidR="001E7074" w:rsidRPr="00792DA0">
              <w:rPr>
                <w:rFonts w:ascii="Arial" w:hAnsi="Arial" w:cs="Arial"/>
                <w:bCs/>
                <w:sz w:val="24"/>
                <w:szCs w:val="24"/>
              </w:rPr>
              <w:t xml:space="preserve">This is something that has been discussed on an </w:t>
            </w:r>
            <w:proofErr w:type="gramStart"/>
            <w:r w:rsidR="001E7074" w:rsidRPr="00792DA0">
              <w:rPr>
                <w:rFonts w:ascii="Arial" w:hAnsi="Arial" w:cs="Arial"/>
                <w:bCs/>
                <w:sz w:val="24"/>
                <w:szCs w:val="24"/>
              </w:rPr>
              <w:t>all Wales</w:t>
            </w:r>
            <w:proofErr w:type="gramEnd"/>
            <w:r w:rsidR="001E7074" w:rsidRPr="00792DA0">
              <w:rPr>
                <w:rFonts w:ascii="Arial" w:hAnsi="Arial" w:cs="Arial"/>
                <w:bCs/>
                <w:sz w:val="24"/>
                <w:szCs w:val="24"/>
              </w:rPr>
              <w:t xml:space="preserve"> basis and there is some interest in taking this forward. </w:t>
            </w:r>
            <w:r w:rsidR="00871672" w:rsidRPr="00792DA0">
              <w:rPr>
                <w:rFonts w:ascii="Arial" w:hAnsi="Arial" w:cs="Arial"/>
                <w:bCs/>
                <w:sz w:val="24"/>
                <w:szCs w:val="24"/>
              </w:rPr>
              <w:t xml:space="preserve">These discussions will be revisited by the DPO </w:t>
            </w:r>
            <w:r w:rsidR="009D5B87">
              <w:rPr>
                <w:rFonts w:ascii="Arial" w:hAnsi="Arial" w:cs="Arial"/>
                <w:bCs/>
                <w:sz w:val="24"/>
                <w:szCs w:val="24"/>
              </w:rPr>
              <w:t>in future</w:t>
            </w:r>
            <w:r w:rsidR="00871672" w:rsidRPr="00792DA0">
              <w:rPr>
                <w:rFonts w:ascii="Arial" w:hAnsi="Arial" w:cs="Arial"/>
                <w:bCs/>
                <w:sz w:val="24"/>
                <w:szCs w:val="24"/>
              </w:rPr>
              <w:t>.</w:t>
            </w:r>
          </w:p>
          <w:p w14:paraId="49A6B608" w14:textId="77777777" w:rsidR="00670992" w:rsidRDefault="00670992" w:rsidP="005A4ABD">
            <w:pPr>
              <w:spacing w:after="0"/>
              <w:jc w:val="both"/>
              <w:rPr>
                <w:rFonts w:ascii="Arial" w:hAnsi="Arial" w:cs="Arial"/>
                <w:bCs/>
                <w:sz w:val="24"/>
                <w:szCs w:val="24"/>
              </w:rPr>
            </w:pPr>
          </w:p>
          <w:p w14:paraId="18727B2C" w14:textId="77777777" w:rsidR="00670992" w:rsidRDefault="00670992" w:rsidP="00670992">
            <w:pPr>
              <w:spacing w:after="0"/>
              <w:jc w:val="both"/>
              <w:rPr>
                <w:rFonts w:ascii="Arial" w:hAnsi="Arial" w:cs="Arial"/>
                <w:iCs/>
                <w:sz w:val="24"/>
                <w:szCs w:val="24"/>
              </w:rPr>
            </w:pPr>
            <w:r w:rsidRPr="00581108">
              <w:rPr>
                <w:rFonts w:ascii="Arial" w:hAnsi="Arial" w:cs="Arial"/>
                <w:iCs/>
                <w:sz w:val="24"/>
                <w:szCs w:val="24"/>
              </w:rPr>
              <w:t>Further discussions will also need to take place with the other Welsh OPCCs to determine what support they require for a longer-term solution that suits everyone.</w:t>
            </w:r>
          </w:p>
          <w:p w14:paraId="5EB73CF1" w14:textId="1DA96DAC" w:rsidR="005F021E" w:rsidRPr="001E7074" w:rsidRDefault="005F021E" w:rsidP="005A4ABD">
            <w:pPr>
              <w:spacing w:after="0"/>
              <w:jc w:val="both"/>
              <w:rPr>
                <w:rFonts w:ascii="Arial" w:hAnsi="Arial" w:cs="Arial"/>
                <w:bCs/>
                <w:sz w:val="24"/>
                <w:szCs w:val="24"/>
              </w:rPr>
            </w:pPr>
          </w:p>
        </w:tc>
      </w:tr>
      <w:tr w:rsidR="00F8795E" w:rsidRPr="00055BFA" w14:paraId="6A43D09D" w14:textId="77777777" w:rsidTr="00055BFA">
        <w:tc>
          <w:tcPr>
            <w:tcW w:w="675" w:type="dxa"/>
          </w:tcPr>
          <w:p w14:paraId="2D3A7CA7" w14:textId="77777777" w:rsidR="00F8795E" w:rsidRDefault="005C173F" w:rsidP="00055BFA">
            <w:pPr>
              <w:spacing w:after="0"/>
              <w:rPr>
                <w:rFonts w:ascii="Arial" w:hAnsi="Arial" w:cs="Arial"/>
                <w:b/>
                <w:sz w:val="24"/>
                <w:szCs w:val="24"/>
              </w:rPr>
            </w:pPr>
            <w:r>
              <w:rPr>
                <w:rFonts w:ascii="Arial" w:hAnsi="Arial" w:cs="Arial"/>
                <w:b/>
                <w:sz w:val="24"/>
                <w:szCs w:val="24"/>
              </w:rPr>
              <w:lastRenderedPageBreak/>
              <w:t>7</w:t>
            </w:r>
            <w:r w:rsidR="00F8795E">
              <w:rPr>
                <w:rFonts w:ascii="Arial" w:hAnsi="Arial" w:cs="Arial"/>
                <w:b/>
                <w:sz w:val="24"/>
                <w:szCs w:val="24"/>
              </w:rPr>
              <w:t>.</w:t>
            </w:r>
          </w:p>
        </w:tc>
        <w:tc>
          <w:tcPr>
            <w:tcW w:w="8611" w:type="dxa"/>
          </w:tcPr>
          <w:p w14:paraId="37CCD847" w14:textId="77777777" w:rsidR="00F8795E" w:rsidRPr="00550B10" w:rsidRDefault="00F8795E" w:rsidP="00055BFA">
            <w:pPr>
              <w:spacing w:after="0"/>
              <w:rPr>
                <w:rFonts w:ascii="Arial" w:hAnsi="Arial" w:cs="Arial"/>
                <w:b/>
                <w:sz w:val="24"/>
                <w:szCs w:val="24"/>
                <w:u w:val="single"/>
              </w:rPr>
            </w:pPr>
            <w:r w:rsidRPr="00550B10">
              <w:rPr>
                <w:rFonts w:ascii="Arial" w:hAnsi="Arial" w:cs="Arial"/>
                <w:b/>
                <w:sz w:val="24"/>
                <w:szCs w:val="24"/>
                <w:u w:val="single"/>
              </w:rPr>
              <w:t>LEGAL IMPLICATIONS</w:t>
            </w:r>
          </w:p>
          <w:p w14:paraId="2DD8F80C" w14:textId="77777777" w:rsidR="008D7F51" w:rsidRPr="00683919" w:rsidRDefault="008D7F51" w:rsidP="008D7F51">
            <w:pPr>
              <w:spacing w:after="0"/>
              <w:jc w:val="both"/>
              <w:rPr>
                <w:rFonts w:ascii="Arial" w:hAnsi="Arial" w:cs="Arial"/>
                <w:b/>
                <w:sz w:val="24"/>
                <w:szCs w:val="24"/>
              </w:rPr>
            </w:pPr>
            <w:r w:rsidRPr="00683919">
              <w:rPr>
                <w:rFonts w:ascii="Arial" w:hAnsi="Arial" w:cs="Arial"/>
                <w:b/>
                <w:sz w:val="24"/>
                <w:szCs w:val="24"/>
              </w:rPr>
              <w:t>Data Protection Act 2018 &amp; UK General Data Protection Legislation</w:t>
            </w:r>
          </w:p>
          <w:p w14:paraId="77B0B01C" w14:textId="09B0FCE5" w:rsidR="008D7F51" w:rsidRPr="00683919" w:rsidRDefault="008D7F51" w:rsidP="008D7F51">
            <w:pPr>
              <w:jc w:val="both"/>
              <w:rPr>
                <w:rFonts w:ascii="Arial" w:hAnsi="Arial" w:cs="Arial"/>
                <w:sz w:val="24"/>
                <w:szCs w:val="24"/>
              </w:rPr>
            </w:pPr>
            <w:r w:rsidRPr="00683919">
              <w:rPr>
                <w:rFonts w:ascii="Arial" w:hAnsi="Arial" w:cs="Arial"/>
                <w:sz w:val="24"/>
                <w:szCs w:val="24"/>
              </w:rPr>
              <w:t xml:space="preserve">The DPA 2018 sets out the framework for data protection law in the UK. It updates and replaces the </w:t>
            </w:r>
            <w:r w:rsidR="00167315" w:rsidRPr="00683919">
              <w:rPr>
                <w:rFonts w:ascii="Arial" w:hAnsi="Arial" w:cs="Arial"/>
                <w:sz w:val="24"/>
                <w:szCs w:val="24"/>
              </w:rPr>
              <w:t>DPA</w:t>
            </w:r>
            <w:r w:rsidRPr="00683919">
              <w:rPr>
                <w:rFonts w:ascii="Arial" w:hAnsi="Arial" w:cs="Arial"/>
                <w:sz w:val="24"/>
                <w:szCs w:val="24"/>
              </w:rPr>
              <w:t xml:space="preserve"> 1998 and came into effect on 25</w:t>
            </w:r>
            <w:r w:rsidRPr="00683919">
              <w:rPr>
                <w:rFonts w:ascii="Arial" w:hAnsi="Arial" w:cs="Arial"/>
                <w:sz w:val="24"/>
                <w:szCs w:val="24"/>
                <w:vertAlign w:val="superscript"/>
              </w:rPr>
              <w:t>th</w:t>
            </w:r>
            <w:r w:rsidRPr="00683919">
              <w:rPr>
                <w:rFonts w:ascii="Arial" w:hAnsi="Arial" w:cs="Arial"/>
                <w:sz w:val="24"/>
                <w:szCs w:val="24"/>
              </w:rPr>
              <w:t xml:space="preserve"> May 2018. It was amended on 1</w:t>
            </w:r>
            <w:r w:rsidRPr="00683919">
              <w:rPr>
                <w:rFonts w:ascii="Arial" w:hAnsi="Arial" w:cs="Arial"/>
                <w:sz w:val="24"/>
                <w:szCs w:val="24"/>
                <w:vertAlign w:val="superscript"/>
              </w:rPr>
              <w:t>st</w:t>
            </w:r>
            <w:r w:rsidRPr="00683919">
              <w:rPr>
                <w:rFonts w:ascii="Arial" w:hAnsi="Arial" w:cs="Arial"/>
                <w:sz w:val="24"/>
                <w:szCs w:val="24"/>
              </w:rPr>
              <w:t xml:space="preserve"> January 2021 by regulations under the European Union (Withdrawal) Act 2018, to reflect the UK’s status outside of the EU.</w:t>
            </w:r>
          </w:p>
          <w:p w14:paraId="50611483" w14:textId="77777777" w:rsidR="008D7F51" w:rsidRPr="00683919" w:rsidRDefault="008D7F51" w:rsidP="008D7F51">
            <w:pPr>
              <w:jc w:val="both"/>
              <w:rPr>
                <w:rFonts w:ascii="Arial" w:hAnsi="Arial" w:cs="Arial"/>
                <w:sz w:val="24"/>
                <w:szCs w:val="24"/>
              </w:rPr>
            </w:pPr>
            <w:r w:rsidRPr="00683919">
              <w:rPr>
                <w:rFonts w:ascii="Arial" w:hAnsi="Arial" w:cs="Arial"/>
                <w:sz w:val="24"/>
                <w:szCs w:val="24"/>
              </w:rPr>
              <w:t>The DPA sits alongside and supplements the UK GDPR - for example by providing exemptions. It also sets out separate data protection rules for law enforcement authorities, extends data protection to some other areas such as national security and defence, and sets out the Information Commissioner’s functions and powers.</w:t>
            </w:r>
          </w:p>
          <w:p w14:paraId="02C04E5E" w14:textId="77777777" w:rsidR="00871672" w:rsidRDefault="0020118A" w:rsidP="00206D13">
            <w:pPr>
              <w:spacing w:after="240"/>
              <w:jc w:val="both"/>
              <w:rPr>
                <w:rFonts w:ascii="Arial" w:eastAsia="Times New Roman" w:hAnsi="Arial" w:cs="Arial"/>
                <w:color w:val="000000"/>
                <w:sz w:val="24"/>
                <w:szCs w:val="24"/>
                <w:lang w:eastAsia="en-GB"/>
              </w:rPr>
            </w:pPr>
            <w:r w:rsidRPr="00683919">
              <w:rPr>
                <w:rFonts w:ascii="Arial" w:eastAsia="Times New Roman" w:hAnsi="Arial" w:cs="Arial"/>
                <w:color w:val="000000"/>
                <w:sz w:val="24"/>
                <w:szCs w:val="24"/>
                <w:lang w:eastAsia="en-GB"/>
              </w:rPr>
              <w:t>The DPO is</w:t>
            </w:r>
            <w:r w:rsidR="008D4F18" w:rsidRPr="00683919">
              <w:rPr>
                <w:rFonts w:ascii="Arial" w:eastAsia="Times New Roman" w:hAnsi="Arial" w:cs="Arial"/>
                <w:color w:val="000000"/>
                <w:sz w:val="24"/>
                <w:szCs w:val="24"/>
                <w:lang w:eastAsia="en-GB"/>
              </w:rPr>
              <w:t xml:space="preserve"> </w:t>
            </w:r>
            <w:r w:rsidRPr="00683919">
              <w:rPr>
                <w:rFonts w:ascii="Arial" w:eastAsia="Times New Roman" w:hAnsi="Arial" w:cs="Arial"/>
                <w:color w:val="000000"/>
                <w:sz w:val="24"/>
                <w:szCs w:val="24"/>
                <w:lang w:eastAsia="en-GB"/>
              </w:rPr>
              <w:t>n</w:t>
            </w:r>
            <w:r w:rsidR="008D4F18" w:rsidRPr="00683919">
              <w:rPr>
                <w:rFonts w:ascii="Arial" w:eastAsia="Times New Roman" w:hAnsi="Arial" w:cs="Arial"/>
                <w:color w:val="000000"/>
                <w:sz w:val="24"/>
                <w:szCs w:val="24"/>
                <w:lang w:eastAsia="en-GB"/>
              </w:rPr>
              <w:t>o</w:t>
            </w:r>
            <w:r w:rsidRPr="00683919">
              <w:rPr>
                <w:rFonts w:ascii="Arial" w:eastAsia="Times New Roman" w:hAnsi="Arial" w:cs="Arial"/>
                <w:color w:val="000000"/>
                <w:sz w:val="24"/>
                <w:szCs w:val="24"/>
                <w:lang w:eastAsia="en-GB"/>
              </w:rPr>
              <w:t>t personally liable for data protection compliance. As the controller</w:t>
            </w:r>
            <w:r w:rsidR="005F021E" w:rsidRPr="00683919">
              <w:rPr>
                <w:rFonts w:ascii="Arial" w:eastAsia="Times New Roman" w:hAnsi="Arial" w:cs="Arial"/>
                <w:color w:val="000000"/>
                <w:sz w:val="24"/>
                <w:szCs w:val="24"/>
                <w:lang w:eastAsia="en-GB"/>
              </w:rPr>
              <w:t xml:space="preserve">, </w:t>
            </w:r>
            <w:r w:rsidRPr="00683919">
              <w:rPr>
                <w:rFonts w:ascii="Arial" w:eastAsia="Times New Roman" w:hAnsi="Arial" w:cs="Arial"/>
                <w:color w:val="000000"/>
                <w:sz w:val="24"/>
                <w:szCs w:val="24"/>
                <w:lang w:eastAsia="en-GB"/>
              </w:rPr>
              <w:t xml:space="preserve">it remains </w:t>
            </w:r>
            <w:r w:rsidR="005F021E" w:rsidRPr="00683919">
              <w:rPr>
                <w:rFonts w:ascii="Arial" w:eastAsia="Times New Roman" w:hAnsi="Arial" w:cs="Arial"/>
                <w:color w:val="000000"/>
                <w:sz w:val="24"/>
                <w:szCs w:val="24"/>
                <w:lang w:eastAsia="en-GB"/>
              </w:rPr>
              <w:t>the OPCC’s</w:t>
            </w:r>
            <w:r w:rsidRPr="00683919">
              <w:rPr>
                <w:rFonts w:ascii="Arial" w:eastAsia="Times New Roman" w:hAnsi="Arial" w:cs="Arial"/>
                <w:color w:val="000000"/>
                <w:sz w:val="24"/>
                <w:szCs w:val="24"/>
                <w:lang w:eastAsia="en-GB"/>
              </w:rPr>
              <w:t xml:space="preserve"> responsibility to comply with the UK GDPR. Nevertheless, the DPO clearly plays a crucial role in helping to fulfil </w:t>
            </w:r>
            <w:r w:rsidR="00167315" w:rsidRPr="00683919">
              <w:rPr>
                <w:rFonts w:ascii="Arial" w:eastAsia="Times New Roman" w:hAnsi="Arial" w:cs="Arial"/>
                <w:color w:val="000000"/>
                <w:sz w:val="24"/>
                <w:szCs w:val="24"/>
                <w:lang w:eastAsia="en-GB"/>
              </w:rPr>
              <w:t>the OPCC’s</w:t>
            </w:r>
            <w:r w:rsidRPr="00683919">
              <w:rPr>
                <w:rFonts w:ascii="Arial" w:eastAsia="Times New Roman" w:hAnsi="Arial" w:cs="Arial"/>
                <w:color w:val="000000"/>
                <w:sz w:val="24"/>
                <w:szCs w:val="24"/>
                <w:lang w:eastAsia="en-GB"/>
              </w:rPr>
              <w:t xml:space="preserve"> data protection obligations.</w:t>
            </w:r>
            <w:r w:rsidR="005F021E" w:rsidRPr="00683919">
              <w:rPr>
                <w:rFonts w:ascii="Arial" w:eastAsia="Times New Roman" w:hAnsi="Arial" w:cs="Arial"/>
                <w:color w:val="000000"/>
                <w:sz w:val="24"/>
                <w:szCs w:val="24"/>
                <w:lang w:eastAsia="en-GB"/>
              </w:rPr>
              <w:t xml:space="preserve">  The Chief Executive has listened to these </w:t>
            </w:r>
            <w:proofErr w:type="gramStart"/>
            <w:r w:rsidR="005F021E" w:rsidRPr="00683919">
              <w:rPr>
                <w:rFonts w:ascii="Arial" w:eastAsia="Times New Roman" w:hAnsi="Arial" w:cs="Arial"/>
                <w:color w:val="000000"/>
                <w:sz w:val="24"/>
                <w:szCs w:val="24"/>
                <w:lang w:eastAsia="en-GB"/>
              </w:rPr>
              <w:t>concerns</w:t>
            </w:r>
            <w:proofErr w:type="gramEnd"/>
            <w:r w:rsidR="005F021E" w:rsidRPr="00683919">
              <w:rPr>
                <w:rFonts w:ascii="Arial" w:eastAsia="Times New Roman" w:hAnsi="Arial" w:cs="Arial"/>
                <w:color w:val="000000"/>
                <w:sz w:val="24"/>
                <w:szCs w:val="24"/>
                <w:lang w:eastAsia="en-GB"/>
              </w:rPr>
              <w:t xml:space="preserve"> and </w:t>
            </w:r>
            <w:r w:rsidR="001E7074" w:rsidRPr="00683919">
              <w:rPr>
                <w:rFonts w:ascii="Arial" w:eastAsia="Times New Roman" w:hAnsi="Arial" w:cs="Arial"/>
                <w:color w:val="000000"/>
                <w:sz w:val="24"/>
                <w:szCs w:val="24"/>
                <w:lang w:eastAsia="en-GB"/>
              </w:rPr>
              <w:t>an</w:t>
            </w:r>
            <w:r w:rsidR="005F021E" w:rsidRPr="00683919">
              <w:rPr>
                <w:rFonts w:ascii="Arial" w:eastAsia="Times New Roman" w:hAnsi="Arial" w:cs="Arial"/>
                <w:color w:val="000000"/>
                <w:sz w:val="24"/>
                <w:szCs w:val="24"/>
                <w:lang w:eastAsia="en-GB"/>
              </w:rPr>
              <w:t xml:space="preserve"> external audit </w:t>
            </w:r>
            <w:r w:rsidR="001E7074" w:rsidRPr="00683919">
              <w:rPr>
                <w:rFonts w:ascii="Arial" w:eastAsia="Times New Roman" w:hAnsi="Arial" w:cs="Arial"/>
                <w:color w:val="000000"/>
                <w:sz w:val="24"/>
                <w:szCs w:val="24"/>
                <w:lang w:eastAsia="en-GB"/>
              </w:rPr>
              <w:t>has been</w:t>
            </w:r>
            <w:r w:rsidR="00167315" w:rsidRPr="00683919">
              <w:rPr>
                <w:rFonts w:ascii="Arial" w:eastAsia="Times New Roman" w:hAnsi="Arial" w:cs="Arial"/>
                <w:color w:val="000000"/>
                <w:sz w:val="24"/>
                <w:szCs w:val="24"/>
                <w:lang w:eastAsia="en-GB"/>
              </w:rPr>
              <w:t xml:space="preserve"> undertaken</w:t>
            </w:r>
            <w:r w:rsidR="001E7074" w:rsidRPr="00683919">
              <w:rPr>
                <w:rFonts w:ascii="Arial" w:eastAsia="Times New Roman" w:hAnsi="Arial" w:cs="Arial"/>
                <w:color w:val="000000"/>
                <w:sz w:val="24"/>
                <w:szCs w:val="24"/>
                <w:lang w:eastAsia="en-GB"/>
              </w:rPr>
              <w:t xml:space="preserve"> which has clarified the work that needs to be completed</w:t>
            </w:r>
            <w:r w:rsidR="00167315" w:rsidRPr="00683919">
              <w:rPr>
                <w:rFonts w:ascii="Arial" w:eastAsia="Times New Roman" w:hAnsi="Arial" w:cs="Arial"/>
                <w:color w:val="000000"/>
                <w:sz w:val="24"/>
                <w:szCs w:val="24"/>
                <w:lang w:eastAsia="en-GB"/>
              </w:rPr>
              <w:t xml:space="preserve"> </w:t>
            </w:r>
            <w:r w:rsidR="001E7074" w:rsidRPr="00683919">
              <w:rPr>
                <w:rFonts w:ascii="Arial" w:eastAsia="Times New Roman" w:hAnsi="Arial" w:cs="Arial"/>
                <w:color w:val="000000"/>
                <w:sz w:val="24"/>
                <w:szCs w:val="24"/>
                <w:lang w:eastAsia="en-GB"/>
              </w:rPr>
              <w:t>and highlights the need</w:t>
            </w:r>
            <w:r w:rsidR="005F021E" w:rsidRPr="00683919">
              <w:rPr>
                <w:rFonts w:ascii="Arial" w:eastAsia="Times New Roman" w:hAnsi="Arial" w:cs="Arial"/>
                <w:color w:val="000000"/>
                <w:sz w:val="24"/>
                <w:szCs w:val="24"/>
                <w:lang w:eastAsia="en-GB"/>
              </w:rPr>
              <w:t xml:space="preserve"> to ensur</w:t>
            </w:r>
            <w:r w:rsidR="001E7074" w:rsidRPr="00683919">
              <w:rPr>
                <w:rFonts w:ascii="Arial" w:eastAsia="Times New Roman" w:hAnsi="Arial" w:cs="Arial"/>
                <w:color w:val="000000"/>
                <w:sz w:val="24"/>
                <w:szCs w:val="24"/>
                <w:lang w:eastAsia="en-GB"/>
              </w:rPr>
              <w:t xml:space="preserve">e </w:t>
            </w:r>
            <w:r w:rsidR="005F021E" w:rsidRPr="00683919">
              <w:rPr>
                <w:rFonts w:ascii="Arial" w:eastAsia="Times New Roman" w:hAnsi="Arial" w:cs="Arial"/>
                <w:color w:val="000000"/>
                <w:sz w:val="24"/>
                <w:szCs w:val="24"/>
                <w:lang w:eastAsia="en-GB"/>
              </w:rPr>
              <w:t>there is adequate resourcing to support our statutory functions.</w:t>
            </w:r>
          </w:p>
          <w:p w14:paraId="3EDD6562" w14:textId="77777777" w:rsidR="0090478A" w:rsidRDefault="0090478A" w:rsidP="0090478A">
            <w:pPr>
              <w:spacing w:after="0"/>
              <w:jc w:val="both"/>
              <w:rPr>
                <w:rFonts w:ascii="Arial" w:eastAsia="Times New Roman" w:hAnsi="Arial" w:cs="Arial"/>
                <w:sz w:val="24"/>
                <w:szCs w:val="24"/>
                <w:lang w:eastAsia="en-GB"/>
              </w:rPr>
            </w:pPr>
            <w:r w:rsidRPr="0072661D">
              <w:rPr>
                <w:rFonts w:ascii="Arial" w:hAnsi="Arial" w:cs="Arial"/>
                <w:sz w:val="24"/>
                <w:szCs w:val="24"/>
              </w:rPr>
              <w:t>There are number of legal requirements that we need to comply with when responding to requests for information</w:t>
            </w:r>
            <w:r>
              <w:rPr>
                <w:rFonts w:ascii="Arial" w:hAnsi="Arial" w:cs="Arial"/>
                <w:sz w:val="24"/>
                <w:szCs w:val="24"/>
              </w:rPr>
              <w:t xml:space="preserve"> under the FOIA.  It must be noted that to </w:t>
            </w:r>
            <w:r w:rsidRPr="0072661D">
              <w:rPr>
                <w:rFonts w:ascii="Arial" w:eastAsia="Times New Roman" w:hAnsi="Arial" w:cs="Arial"/>
                <w:sz w:val="24"/>
                <w:szCs w:val="24"/>
                <w:lang w:eastAsia="en-GB"/>
              </w:rPr>
              <w:t>deliberately destroy, hide or alter requested information to prevent it being released</w:t>
            </w:r>
            <w:r>
              <w:rPr>
                <w:rFonts w:ascii="Arial" w:eastAsia="Times New Roman" w:hAnsi="Arial" w:cs="Arial"/>
                <w:sz w:val="24"/>
                <w:szCs w:val="24"/>
                <w:lang w:eastAsia="en-GB"/>
              </w:rPr>
              <w:t xml:space="preserve"> is a criminal offence;</w:t>
            </w:r>
            <w:r w:rsidRPr="0072661D">
              <w:rPr>
                <w:rFonts w:ascii="Arial" w:eastAsia="Times New Roman" w:hAnsi="Arial" w:cs="Arial"/>
                <w:sz w:val="24"/>
                <w:szCs w:val="24"/>
                <w:lang w:eastAsia="en-GB"/>
              </w:rPr>
              <w:t xml:space="preserve"> it is therefore imperative that all staff within the OPCC are aware of their responsibilities in relation to FOIA and good records management.</w:t>
            </w:r>
            <w:r>
              <w:rPr>
                <w:rFonts w:ascii="Arial" w:eastAsia="Times New Roman" w:hAnsi="Arial" w:cs="Arial"/>
                <w:sz w:val="24"/>
                <w:szCs w:val="24"/>
                <w:lang w:eastAsia="en-GB"/>
              </w:rPr>
              <w:br/>
            </w:r>
          </w:p>
          <w:p w14:paraId="3438D9F7" w14:textId="77777777" w:rsidR="007B3A53" w:rsidRDefault="007B3A53" w:rsidP="0090478A">
            <w:pPr>
              <w:spacing w:after="0"/>
              <w:jc w:val="both"/>
              <w:rPr>
                <w:rFonts w:ascii="Arial" w:eastAsia="Times New Roman" w:hAnsi="Arial" w:cs="Arial"/>
                <w:sz w:val="24"/>
                <w:szCs w:val="24"/>
                <w:lang w:eastAsia="en-GB"/>
              </w:rPr>
            </w:pPr>
          </w:p>
          <w:p w14:paraId="42EB1C74" w14:textId="77777777" w:rsidR="007B3A53" w:rsidRDefault="007B3A53" w:rsidP="0090478A">
            <w:pPr>
              <w:spacing w:after="0"/>
              <w:jc w:val="both"/>
              <w:rPr>
                <w:rFonts w:ascii="Arial" w:eastAsia="Times New Roman" w:hAnsi="Arial" w:cs="Arial"/>
                <w:sz w:val="24"/>
                <w:szCs w:val="24"/>
                <w:lang w:eastAsia="en-GB"/>
              </w:rPr>
            </w:pPr>
          </w:p>
          <w:p w14:paraId="25668D34" w14:textId="54DD6F73" w:rsidR="007B3A53" w:rsidRPr="0090478A" w:rsidRDefault="007B3A53" w:rsidP="0090478A">
            <w:pPr>
              <w:spacing w:after="0"/>
              <w:jc w:val="both"/>
              <w:rPr>
                <w:rFonts w:ascii="Arial" w:eastAsia="Times New Roman" w:hAnsi="Arial" w:cs="Arial"/>
                <w:sz w:val="24"/>
                <w:szCs w:val="24"/>
                <w:lang w:eastAsia="en-GB"/>
              </w:rPr>
            </w:pPr>
          </w:p>
        </w:tc>
      </w:tr>
      <w:tr w:rsidR="00F8795E" w:rsidRPr="00055BFA" w14:paraId="5972B9DB" w14:textId="77777777" w:rsidTr="00055BFA">
        <w:tc>
          <w:tcPr>
            <w:tcW w:w="675" w:type="dxa"/>
          </w:tcPr>
          <w:p w14:paraId="46A7173D" w14:textId="77777777" w:rsidR="00F8795E" w:rsidRDefault="005C173F" w:rsidP="00055BFA">
            <w:pPr>
              <w:spacing w:after="0"/>
              <w:rPr>
                <w:rFonts w:ascii="Arial" w:hAnsi="Arial" w:cs="Arial"/>
                <w:b/>
                <w:sz w:val="24"/>
                <w:szCs w:val="24"/>
              </w:rPr>
            </w:pPr>
            <w:r>
              <w:rPr>
                <w:rFonts w:ascii="Arial" w:hAnsi="Arial" w:cs="Arial"/>
                <w:b/>
                <w:sz w:val="24"/>
                <w:szCs w:val="24"/>
              </w:rPr>
              <w:lastRenderedPageBreak/>
              <w:t>8</w:t>
            </w:r>
            <w:r w:rsidR="00F8795E">
              <w:rPr>
                <w:rFonts w:ascii="Arial" w:hAnsi="Arial" w:cs="Arial"/>
                <w:b/>
                <w:sz w:val="24"/>
                <w:szCs w:val="24"/>
              </w:rPr>
              <w:t>.</w:t>
            </w:r>
          </w:p>
        </w:tc>
        <w:tc>
          <w:tcPr>
            <w:tcW w:w="8611" w:type="dxa"/>
          </w:tcPr>
          <w:p w14:paraId="133350D6" w14:textId="77777777" w:rsidR="00F8795E" w:rsidRPr="00550B10" w:rsidRDefault="00BC5418" w:rsidP="00055BFA">
            <w:pPr>
              <w:spacing w:after="0"/>
              <w:rPr>
                <w:rFonts w:ascii="Arial" w:hAnsi="Arial" w:cs="Arial"/>
                <w:b/>
                <w:sz w:val="24"/>
                <w:szCs w:val="24"/>
                <w:u w:val="single"/>
              </w:rPr>
            </w:pPr>
            <w:r w:rsidRPr="00550B10">
              <w:rPr>
                <w:rFonts w:ascii="Arial" w:hAnsi="Arial" w:cs="Arial"/>
                <w:b/>
                <w:sz w:val="24"/>
                <w:szCs w:val="24"/>
                <w:u w:val="single"/>
              </w:rPr>
              <w:t xml:space="preserve">EQUALITIES AND </w:t>
            </w:r>
            <w:r w:rsidR="00F8795E" w:rsidRPr="00550B10">
              <w:rPr>
                <w:rFonts w:ascii="Arial" w:hAnsi="Arial" w:cs="Arial"/>
                <w:b/>
                <w:sz w:val="24"/>
                <w:szCs w:val="24"/>
                <w:u w:val="single"/>
              </w:rPr>
              <w:t>HUMAN RIGHTS CONSIDERATIONS</w:t>
            </w:r>
          </w:p>
          <w:p w14:paraId="32B0D4C5" w14:textId="77777777" w:rsidR="001F41AD" w:rsidRPr="00550B10" w:rsidRDefault="001F41AD" w:rsidP="00D42FDB">
            <w:pPr>
              <w:spacing w:after="0"/>
              <w:jc w:val="both"/>
              <w:rPr>
                <w:rFonts w:ascii="Arial" w:hAnsi="Arial"/>
                <w:iCs/>
                <w:snapToGrid w:val="0"/>
                <w:sz w:val="24"/>
              </w:rPr>
            </w:pPr>
            <w:r w:rsidRPr="00550B10">
              <w:rPr>
                <w:rFonts w:ascii="Arial" w:hAnsi="Arial"/>
                <w:iCs/>
                <w:snapToGrid w:val="0"/>
                <w:sz w:val="24"/>
              </w:rPr>
              <w:t xml:space="preserve">This </w:t>
            </w:r>
            <w:r w:rsidR="006F46C7" w:rsidRPr="00550B10">
              <w:rPr>
                <w:rFonts w:ascii="Arial" w:hAnsi="Arial"/>
                <w:iCs/>
                <w:snapToGrid w:val="0"/>
                <w:sz w:val="24"/>
              </w:rPr>
              <w:t>report</w:t>
            </w:r>
            <w:r w:rsidRPr="00550B10">
              <w:rPr>
                <w:rFonts w:ascii="Arial" w:hAnsi="Arial"/>
                <w:iCs/>
                <w:snapToGrid w:val="0"/>
                <w:sz w:val="24"/>
              </w:rPr>
              <w:t xml:space="preserve"> has been considered against the general duty to promote equality, as stipulated under the </w:t>
            </w:r>
            <w:r w:rsidR="00950DC7" w:rsidRPr="00550B10">
              <w:rPr>
                <w:rFonts w:ascii="Arial" w:hAnsi="Arial"/>
                <w:iCs/>
                <w:snapToGrid w:val="0"/>
                <w:sz w:val="24"/>
              </w:rPr>
              <w:t>Strategic Equality Plan</w:t>
            </w:r>
            <w:r w:rsidRPr="00550B10">
              <w:rPr>
                <w:rFonts w:ascii="Arial" w:hAnsi="Arial"/>
                <w:iCs/>
                <w:snapToGrid w:val="0"/>
                <w:sz w:val="24"/>
              </w:rPr>
              <w:t xml:space="preserve"> and has been assessed not to discriminate against any </w:t>
            </w:r>
            <w:proofErr w:type="gramStart"/>
            <w:r w:rsidRPr="00550B10">
              <w:rPr>
                <w:rFonts w:ascii="Arial" w:hAnsi="Arial"/>
                <w:iCs/>
                <w:snapToGrid w:val="0"/>
                <w:sz w:val="24"/>
              </w:rPr>
              <w:t>particular group</w:t>
            </w:r>
            <w:proofErr w:type="gramEnd"/>
            <w:r w:rsidRPr="00550B10">
              <w:rPr>
                <w:rFonts w:ascii="Arial" w:hAnsi="Arial"/>
                <w:iCs/>
                <w:snapToGrid w:val="0"/>
                <w:sz w:val="24"/>
              </w:rPr>
              <w:t xml:space="preserve">. </w:t>
            </w:r>
          </w:p>
          <w:p w14:paraId="44DF57CB" w14:textId="77777777" w:rsidR="00F8795E" w:rsidRPr="00550B10" w:rsidRDefault="001F41AD" w:rsidP="00D42FDB">
            <w:pPr>
              <w:spacing w:after="0"/>
              <w:jc w:val="both"/>
              <w:rPr>
                <w:rFonts w:ascii="Arial" w:hAnsi="Arial" w:cs="Arial"/>
                <w:b/>
                <w:iCs/>
                <w:sz w:val="24"/>
                <w:u w:val="single"/>
              </w:rPr>
            </w:pPr>
            <w:r w:rsidRPr="00550B10">
              <w:rPr>
                <w:rFonts w:ascii="Arial" w:hAnsi="Arial"/>
                <w:iCs/>
                <w:snapToGrid w:val="0"/>
                <w:sz w:val="24"/>
              </w:rPr>
              <w:t xml:space="preserve"> </w:t>
            </w:r>
          </w:p>
          <w:p w14:paraId="17BC6135" w14:textId="77777777" w:rsidR="00871672" w:rsidRDefault="001F41AD" w:rsidP="0020118A">
            <w:pPr>
              <w:spacing w:after="0"/>
              <w:jc w:val="both"/>
              <w:rPr>
                <w:rFonts w:ascii="Arial" w:hAnsi="Arial" w:cs="Arial"/>
                <w:bCs/>
                <w:iCs/>
                <w:sz w:val="24"/>
              </w:rPr>
            </w:pPr>
            <w:r w:rsidRPr="00550B10">
              <w:rPr>
                <w:rFonts w:ascii="Arial" w:hAnsi="Arial" w:cs="Arial"/>
                <w:bCs/>
                <w:iCs/>
                <w:sz w:val="24"/>
              </w:rPr>
              <w:t>Consideration has been given to requirements of the Articles contained in the European Convention on Human Rights and the Human Rights Act 1998 in preparing this report.</w:t>
            </w:r>
          </w:p>
          <w:p w14:paraId="65DFE575" w14:textId="7E11F2E1" w:rsidR="007B3A53" w:rsidRPr="00C417A8" w:rsidRDefault="007B3A53" w:rsidP="0020118A">
            <w:pPr>
              <w:spacing w:after="0"/>
              <w:jc w:val="both"/>
              <w:rPr>
                <w:rFonts w:ascii="Arial" w:hAnsi="Arial" w:cs="Arial"/>
                <w:bCs/>
                <w:iCs/>
                <w:sz w:val="24"/>
              </w:rPr>
            </w:pPr>
          </w:p>
        </w:tc>
      </w:tr>
      <w:tr w:rsidR="00D22780" w:rsidRPr="00055BFA" w14:paraId="05479E1B" w14:textId="77777777" w:rsidTr="00055BFA">
        <w:tc>
          <w:tcPr>
            <w:tcW w:w="675" w:type="dxa"/>
          </w:tcPr>
          <w:p w14:paraId="2150E62B" w14:textId="77777777" w:rsidR="00D22780" w:rsidRDefault="005C173F" w:rsidP="00055BFA">
            <w:pPr>
              <w:spacing w:after="0"/>
              <w:rPr>
                <w:rFonts w:ascii="Arial" w:hAnsi="Arial" w:cs="Arial"/>
                <w:b/>
                <w:sz w:val="24"/>
                <w:szCs w:val="24"/>
              </w:rPr>
            </w:pPr>
            <w:r>
              <w:rPr>
                <w:rFonts w:ascii="Arial" w:hAnsi="Arial" w:cs="Arial"/>
                <w:b/>
                <w:sz w:val="24"/>
                <w:szCs w:val="24"/>
              </w:rPr>
              <w:t>9</w:t>
            </w:r>
            <w:r w:rsidR="00D22780">
              <w:rPr>
                <w:rFonts w:ascii="Arial" w:hAnsi="Arial" w:cs="Arial"/>
                <w:b/>
                <w:sz w:val="24"/>
                <w:szCs w:val="24"/>
              </w:rPr>
              <w:t>.</w:t>
            </w:r>
          </w:p>
        </w:tc>
        <w:tc>
          <w:tcPr>
            <w:tcW w:w="8611" w:type="dxa"/>
          </w:tcPr>
          <w:p w14:paraId="379AD0C5" w14:textId="188D58DC" w:rsidR="00D22780" w:rsidRPr="00550B10" w:rsidRDefault="00D22780" w:rsidP="00055BFA">
            <w:pPr>
              <w:spacing w:after="0"/>
              <w:rPr>
                <w:rFonts w:ascii="Arial" w:hAnsi="Arial" w:cs="Arial"/>
                <w:b/>
                <w:sz w:val="24"/>
                <w:szCs w:val="24"/>
                <w:u w:val="single"/>
              </w:rPr>
            </w:pPr>
            <w:r w:rsidRPr="00550B10">
              <w:rPr>
                <w:rFonts w:ascii="Arial" w:hAnsi="Arial" w:cs="Arial"/>
                <w:b/>
                <w:sz w:val="24"/>
                <w:szCs w:val="24"/>
                <w:u w:val="single"/>
              </w:rPr>
              <w:t>RISK</w:t>
            </w:r>
          </w:p>
          <w:p w14:paraId="0196BFCD" w14:textId="4679E22B" w:rsidR="00600017" w:rsidRDefault="00581108" w:rsidP="00600017">
            <w:pPr>
              <w:spacing w:after="0"/>
              <w:jc w:val="both"/>
              <w:rPr>
                <w:rFonts w:ascii="Arial" w:hAnsi="Arial" w:cs="Arial"/>
                <w:bCs/>
                <w:sz w:val="24"/>
                <w:szCs w:val="24"/>
              </w:rPr>
            </w:pPr>
            <w:r w:rsidRPr="00581108">
              <w:rPr>
                <w:rFonts w:ascii="Arial" w:hAnsi="Arial" w:cs="Arial"/>
                <w:bCs/>
                <w:sz w:val="24"/>
                <w:szCs w:val="24"/>
              </w:rPr>
              <w:t xml:space="preserve">An </w:t>
            </w:r>
            <w:r w:rsidR="00600017" w:rsidRPr="00581108">
              <w:rPr>
                <w:rFonts w:ascii="Arial" w:hAnsi="Arial" w:cs="Arial"/>
                <w:bCs/>
                <w:sz w:val="24"/>
                <w:szCs w:val="24"/>
              </w:rPr>
              <w:t xml:space="preserve">external </w:t>
            </w:r>
            <w:r w:rsidR="00B03A6E" w:rsidRPr="00581108">
              <w:rPr>
                <w:rFonts w:ascii="Arial" w:hAnsi="Arial" w:cs="Arial"/>
                <w:bCs/>
                <w:sz w:val="24"/>
                <w:szCs w:val="24"/>
              </w:rPr>
              <w:t>audit</w:t>
            </w:r>
            <w:r w:rsidR="000F7AE1" w:rsidRPr="00581108">
              <w:rPr>
                <w:rFonts w:ascii="Arial" w:hAnsi="Arial" w:cs="Arial"/>
                <w:bCs/>
                <w:sz w:val="24"/>
                <w:szCs w:val="24"/>
              </w:rPr>
              <w:t xml:space="preserve"> </w:t>
            </w:r>
            <w:r w:rsidR="00550B10" w:rsidRPr="00581108">
              <w:rPr>
                <w:rFonts w:ascii="Arial" w:hAnsi="Arial" w:cs="Arial"/>
                <w:bCs/>
                <w:sz w:val="24"/>
                <w:szCs w:val="24"/>
              </w:rPr>
              <w:t>has been completed and has highlighted the areas that need to be progressed.  A request for</w:t>
            </w:r>
            <w:r w:rsidR="00871672" w:rsidRPr="00581108">
              <w:rPr>
                <w:rFonts w:ascii="Arial" w:hAnsi="Arial" w:cs="Arial"/>
                <w:bCs/>
                <w:sz w:val="24"/>
                <w:szCs w:val="24"/>
              </w:rPr>
              <w:t xml:space="preserve"> additional support</w:t>
            </w:r>
            <w:r w:rsidR="00550B10" w:rsidRPr="00581108">
              <w:rPr>
                <w:rFonts w:ascii="Arial" w:hAnsi="Arial" w:cs="Arial"/>
                <w:bCs/>
                <w:sz w:val="24"/>
                <w:szCs w:val="24"/>
              </w:rPr>
              <w:t xml:space="preserve"> has been </w:t>
            </w:r>
            <w:r w:rsidR="00871672" w:rsidRPr="00581108">
              <w:rPr>
                <w:rFonts w:ascii="Arial" w:hAnsi="Arial" w:cs="Arial"/>
                <w:bCs/>
                <w:sz w:val="24"/>
                <w:szCs w:val="24"/>
              </w:rPr>
              <w:t xml:space="preserve">approved </w:t>
            </w:r>
            <w:r w:rsidR="00550B10" w:rsidRPr="00581108">
              <w:rPr>
                <w:rFonts w:ascii="Arial" w:hAnsi="Arial" w:cs="Arial"/>
                <w:bCs/>
                <w:sz w:val="24"/>
                <w:szCs w:val="24"/>
              </w:rPr>
              <w:t>to reduce the risk the OPCC is exposed to.</w:t>
            </w:r>
            <w:r w:rsidR="007B3A53">
              <w:rPr>
                <w:rFonts w:ascii="Arial" w:hAnsi="Arial" w:cs="Arial"/>
                <w:bCs/>
                <w:sz w:val="24"/>
                <w:szCs w:val="24"/>
              </w:rPr>
              <w:t xml:space="preserve">  Additional support will also be provided by the Chief Executive during 2025/26 to enable progress to be made on the action plan.</w:t>
            </w:r>
          </w:p>
          <w:p w14:paraId="184ECB8E" w14:textId="77777777" w:rsidR="007B3A53" w:rsidRPr="00683919" w:rsidRDefault="007B3A53" w:rsidP="00600017">
            <w:pPr>
              <w:spacing w:after="0"/>
              <w:jc w:val="both"/>
              <w:rPr>
                <w:rFonts w:ascii="Arial" w:hAnsi="Arial" w:cs="Arial"/>
                <w:bCs/>
                <w:sz w:val="24"/>
                <w:szCs w:val="24"/>
              </w:rPr>
            </w:pPr>
          </w:p>
          <w:p w14:paraId="27300695" w14:textId="3E6DC681" w:rsidR="00453288" w:rsidRPr="00581108" w:rsidRDefault="00600017" w:rsidP="00421EBB">
            <w:pPr>
              <w:spacing w:after="0"/>
              <w:jc w:val="both"/>
              <w:rPr>
                <w:rFonts w:ascii="Arial" w:hAnsi="Arial" w:cs="Arial"/>
                <w:bCs/>
                <w:sz w:val="24"/>
                <w:szCs w:val="24"/>
              </w:rPr>
            </w:pPr>
            <w:r w:rsidRPr="00581108">
              <w:rPr>
                <w:rFonts w:ascii="Arial" w:hAnsi="Arial" w:cs="Arial"/>
                <w:bCs/>
                <w:sz w:val="24"/>
                <w:szCs w:val="24"/>
              </w:rPr>
              <w:t xml:space="preserve">There is a significant financial risk </w:t>
            </w:r>
            <w:r w:rsidR="00421EBB" w:rsidRPr="00581108">
              <w:rPr>
                <w:rFonts w:ascii="Arial" w:hAnsi="Arial" w:cs="Arial"/>
                <w:bCs/>
                <w:sz w:val="24"/>
                <w:szCs w:val="24"/>
              </w:rPr>
              <w:t>associated with non-compliance although it would be unlikely a financial penalty would be imposed in the first instance</w:t>
            </w:r>
            <w:r w:rsidR="00453288" w:rsidRPr="00581108">
              <w:rPr>
                <w:rFonts w:ascii="Arial" w:hAnsi="Arial" w:cs="Arial"/>
                <w:bCs/>
                <w:sz w:val="24"/>
                <w:szCs w:val="24"/>
              </w:rPr>
              <w:t xml:space="preserve"> if the risk was low.  A financial risk is more likely to be imposed for repeated non-compliance o</w:t>
            </w:r>
            <w:r w:rsidR="0068664F" w:rsidRPr="00581108">
              <w:rPr>
                <w:rFonts w:ascii="Arial" w:hAnsi="Arial" w:cs="Arial"/>
                <w:bCs/>
                <w:sz w:val="24"/>
                <w:szCs w:val="24"/>
              </w:rPr>
              <w:t>r</w:t>
            </w:r>
            <w:r w:rsidR="00453288" w:rsidRPr="00581108">
              <w:rPr>
                <w:rFonts w:ascii="Arial" w:hAnsi="Arial" w:cs="Arial"/>
                <w:bCs/>
                <w:sz w:val="24"/>
                <w:szCs w:val="24"/>
              </w:rPr>
              <w:t xml:space="preserve"> for areas where the risk posed is significant.  </w:t>
            </w:r>
          </w:p>
          <w:p w14:paraId="5DCDC42F" w14:textId="77777777" w:rsidR="00453288" w:rsidRPr="00581108" w:rsidRDefault="00453288" w:rsidP="00421EBB">
            <w:pPr>
              <w:spacing w:after="0"/>
              <w:jc w:val="both"/>
              <w:rPr>
                <w:rFonts w:ascii="Arial" w:hAnsi="Arial" w:cs="Arial"/>
                <w:bCs/>
                <w:sz w:val="24"/>
                <w:szCs w:val="24"/>
              </w:rPr>
            </w:pPr>
          </w:p>
          <w:p w14:paraId="3B9FAB65" w14:textId="03027250" w:rsidR="00453288" w:rsidRPr="00550B10" w:rsidRDefault="00421EBB" w:rsidP="00453288">
            <w:pPr>
              <w:spacing w:after="0"/>
              <w:jc w:val="both"/>
              <w:rPr>
                <w:rFonts w:ascii="Arial" w:hAnsi="Arial" w:cs="Arial"/>
                <w:bCs/>
                <w:sz w:val="24"/>
                <w:szCs w:val="24"/>
              </w:rPr>
            </w:pPr>
            <w:r w:rsidRPr="00581108">
              <w:rPr>
                <w:rFonts w:ascii="Arial" w:hAnsi="Arial" w:cs="Arial"/>
                <w:bCs/>
                <w:sz w:val="24"/>
                <w:szCs w:val="24"/>
              </w:rPr>
              <w:t>Non-compliance is also a potential reputational risk to the OPCC – the public are more aware of their rights in relation to data protection than ever before and have an expectation that a public authority will be compliant with legislation.</w:t>
            </w:r>
            <w:r w:rsidR="00550B10" w:rsidRPr="00581108">
              <w:rPr>
                <w:rFonts w:ascii="Arial" w:hAnsi="Arial" w:cs="Arial"/>
                <w:bCs/>
                <w:sz w:val="24"/>
                <w:szCs w:val="24"/>
              </w:rPr>
              <w:t xml:space="preserve">  As discussed throughout the report, there are now plans being progressed </w:t>
            </w:r>
            <w:proofErr w:type="gramStart"/>
            <w:r w:rsidR="00550B10" w:rsidRPr="00581108">
              <w:rPr>
                <w:rFonts w:ascii="Arial" w:hAnsi="Arial" w:cs="Arial"/>
                <w:bCs/>
                <w:sz w:val="24"/>
                <w:szCs w:val="24"/>
              </w:rPr>
              <w:t>in order to</w:t>
            </w:r>
            <w:proofErr w:type="gramEnd"/>
            <w:r w:rsidR="00550B10" w:rsidRPr="00581108">
              <w:rPr>
                <w:rFonts w:ascii="Arial" w:hAnsi="Arial" w:cs="Arial"/>
                <w:bCs/>
                <w:sz w:val="24"/>
                <w:szCs w:val="24"/>
              </w:rPr>
              <w:t xml:space="preserve"> negate this risk in the longer term.</w:t>
            </w:r>
          </w:p>
          <w:p w14:paraId="4C1CBB3B" w14:textId="5DF7C38E" w:rsidR="007E4957" w:rsidRPr="00550B10" w:rsidRDefault="007E4957" w:rsidP="00453288">
            <w:pPr>
              <w:spacing w:after="0"/>
              <w:jc w:val="both"/>
              <w:rPr>
                <w:rFonts w:ascii="Arial" w:hAnsi="Arial" w:cs="Arial"/>
                <w:bCs/>
                <w:sz w:val="24"/>
                <w:szCs w:val="24"/>
              </w:rPr>
            </w:pPr>
          </w:p>
        </w:tc>
      </w:tr>
      <w:tr w:rsidR="00D22780" w:rsidRPr="00055BFA" w14:paraId="5C5D2985" w14:textId="77777777" w:rsidTr="00055BFA">
        <w:tc>
          <w:tcPr>
            <w:tcW w:w="675" w:type="dxa"/>
          </w:tcPr>
          <w:p w14:paraId="278912DB" w14:textId="77777777" w:rsidR="00D22780" w:rsidRDefault="00B913D2" w:rsidP="005C173F">
            <w:pPr>
              <w:spacing w:after="0"/>
              <w:rPr>
                <w:rFonts w:ascii="Arial" w:hAnsi="Arial" w:cs="Arial"/>
                <w:b/>
                <w:sz w:val="24"/>
                <w:szCs w:val="24"/>
              </w:rPr>
            </w:pPr>
            <w:r>
              <w:rPr>
                <w:rFonts w:ascii="Arial" w:hAnsi="Arial" w:cs="Arial"/>
                <w:b/>
                <w:sz w:val="24"/>
                <w:szCs w:val="24"/>
              </w:rPr>
              <w:t>1</w:t>
            </w:r>
            <w:r w:rsidR="005C173F">
              <w:rPr>
                <w:rFonts w:ascii="Arial" w:hAnsi="Arial" w:cs="Arial"/>
                <w:b/>
                <w:sz w:val="24"/>
                <w:szCs w:val="24"/>
              </w:rPr>
              <w:t>0</w:t>
            </w:r>
            <w:r w:rsidR="00D22780">
              <w:rPr>
                <w:rFonts w:ascii="Arial" w:hAnsi="Arial" w:cs="Arial"/>
                <w:b/>
                <w:sz w:val="24"/>
                <w:szCs w:val="24"/>
              </w:rPr>
              <w:t>.</w:t>
            </w:r>
          </w:p>
        </w:tc>
        <w:tc>
          <w:tcPr>
            <w:tcW w:w="8611" w:type="dxa"/>
          </w:tcPr>
          <w:p w14:paraId="50A51301" w14:textId="77777777" w:rsidR="00D22780" w:rsidRDefault="00D22780" w:rsidP="00055BFA">
            <w:pPr>
              <w:spacing w:after="0"/>
              <w:rPr>
                <w:rFonts w:ascii="Arial" w:hAnsi="Arial" w:cs="Arial"/>
                <w:b/>
                <w:sz w:val="24"/>
                <w:szCs w:val="24"/>
                <w:u w:val="single"/>
              </w:rPr>
            </w:pPr>
            <w:r w:rsidRPr="00F90924">
              <w:rPr>
                <w:rFonts w:ascii="Arial" w:hAnsi="Arial" w:cs="Arial"/>
                <w:b/>
                <w:sz w:val="24"/>
                <w:szCs w:val="24"/>
                <w:u w:val="single"/>
              </w:rPr>
              <w:t>PUBLIC INTEREST</w:t>
            </w:r>
          </w:p>
          <w:p w14:paraId="67D6F716" w14:textId="5F954CFC" w:rsidR="00D22780" w:rsidRDefault="00D049BA" w:rsidP="00600017">
            <w:pPr>
              <w:spacing w:after="0"/>
              <w:jc w:val="both"/>
              <w:rPr>
                <w:rFonts w:ascii="Arial" w:hAnsi="Arial" w:cs="Arial"/>
                <w:iCs/>
                <w:sz w:val="24"/>
                <w:szCs w:val="24"/>
              </w:rPr>
            </w:pPr>
            <w:r>
              <w:rPr>
                <w:rFonts w:ascii="Arial" w:hAnsi="Arial" w:cs="Arial"/>
                <w:iCs/>
                <w:sz w:val="24"/>
                <w:szCs w:val="24"/>
              </w:rPr>
              <w:t>This report can be made available to the public.</w:t>
            </w:r>
          </w:p>
          <w:p w14:paraId="3CD1EC25" w14:textId="30F0D02F" w:rsidR="0068664F" w:rsidRPr="00F90924" w:rsidRDefault="0068664F" w:rsidP="00055BFA">
            <w:pPr>
              <w:spacing w:after="0"/>
              <w:rPr>
                <w:rFonts w:ascii="Arial" w:hAnsi="Arial" w:cs="Arial"/>
                <w:iCs/>
              </w:rPr>
            </w:pPr>
          </w:p>
        </w:tc>
      </w:tr>
      <w:tr w:rsidR="00D22780" w:rsidRPr="00055BFA" w14:paraId="352BCE43" w14:textId="77777777" w:rsidTr="00055BFA">
        <w:tc>
          <w:tcPr>
            <w:tcW w:w="675" w:type="dxa"/>
          </w:tcPr>
          <w:p w14:paraId="7D0ECA99" w14:textId="77777777" w:rsidR="00D22780" w:rsidRDefault="005C173F" w:rsidP="00055BFA">
            <w:pPr>
              <w:spacing w:after="0"/>
              <w:rPr>
                <w:rFonts w:ascii="Arial" w:hAnsi="Arial" w:cs="Arial"/>
                <w:b/>
                <w:sz w:val="24"/>
                <w:szCs w:val="24"/>
              </w:rPr>
            </w:pPr>
            <w:r>
              <w:rPr>
                <w:rFonts w:ascii="Arial" w:hAnsi="Arial" w:cs="Arial"/>
                <w:b/>
                <w:sz w:val="24"/>
                <w:szCs w:val="24"/>
              </w:rPr>
              <w:t>11</w:t>
            </w:r>
            <w:r w:rsidR="00D22780">
              <w:rPr>
                <w:rFonts w:ascii="Arial" w:hAnsi="Arial" w:cs="Arial"/>
                <w:b/>
                <w:sz w:val="24"/>
                <w:szCs w:val="24"/>
              </w:rPr>
              <w:t>.</w:t>
            </w:r>
          </w:p>
        </w:tc>
        <w:tc>
          <w:tcPr>
            <w:tcW w:w="8611" w:type="dxa"/>
          </w:tcPr>
          <w:p w14:paraId="3B7F5661" w14:textId="77777777" w:rsidR="00D22780" w:rsidRDefault="00D22780" w:rsidP="00055BFA">
            <w:pPr>
              <w:spacing w:after="0"/>
              <w:rPr>
                <w:rFonts w:ascii="Arial" w:hAnsi="Arial" w:cs="Arial"/>
                <w:b/>
                <w:sz w:val="24"/>
                <w:szCs w:val="24"/>
                <w:u w:val="single"/>
              </w:rPr>
            </w:pPr>
            <w:r>
              <w:rPr>
                <w:rFonts w:ascii="Arial" w:hAnsi="Arial" w:cs="Arial"/>
                <w:b/>
                <w:sz w:val="24"/>
                <w:szCs w:val="24"/>
                <w:u w:val="single"/>
              </w:rPr>
              <w:t>CONTACT OFFICER</w:t>
            </w:r>
          </w:p>
          <w:p w14:paraId="1F219863" w14:textId="3A8FDF9D" w:rsidR="00D22780" w:rsidRDefault="008A49E0" w:rsidP="00600017">
            <w:pPr>
              <w:spacing w:after="0"/>
              <w:jc w:val="both"/>
              <w:rPr>
                <w:rFonts w:ascii="Arial" w:hAnsi="Arial" w:cs="Arial"/>
                <w:iCs/>
                <w:sz w:val="24"/>
                <w:szCs w:val="24"/>
              </w:rPr>
            </w:pPr>
            <w:r>
              <w:rPr>
                <w:rFonts w:ascii="Arial" w:hAnsi="Arial" w:cs="Arial"/>
                <w:iCs/>
                <w:sz w:val="24"/>
                <w:szCs w:val="24"/>
              </w:rPr>
              <w:t>Joanne Regan, Head of Assurance and Compliance</w:t>
            </w:r>
            <w:r w:rsidR="0020118A">
              <w:rPr>
                <w:rFonts w:ascii="Arial" w:hAnsi="Arial" w:cs="Arial"/>
                <w:iCs/>
                <w:sz w:val="24"/>
                <w:szCs w:val="24"/>
              </w:rPr>
              <w:t xml:space="preserve"> &amp; Data Protection Officer</w:t>
            </w:r>
          </w:p>
          <w:p w14:paraId="66DFDCF0" w14:textId="77777777" w:rsidR="00160E0B" w:rsidRPr="008A49E0" w:rsidRDefault="00160E0B" w:rsidP="00055BFA">
            <w:pPr>
              <w:spacing w:after="0"/>
              <w:rPr>
                <w:rFonts w:ascii="Arial" w:hAnsi="Arial" w:cs="Arial"/>
                <w:iCs/>
                <w:sz w:val="24"/>
                <w:szCs w:val="24"/>
              </w:rPr>
            </w:pPr>
          </w:p>
        </w:tc>
      </w:tr>
      <w:tr w:rsidR="00B45594" w:rsidRPr="00055BFA" w14:paraId="62FBD127" w14:textId="77777777" w:rsidTr="00055BFA">
        <w:tc>
          <w:tcPr>
            <w:tcW w:w="675" w:type="dxa"/>
          </w:tcPr>
          <w:p w14:paraId="6C94A978" w14:textId="77777777" w:rsidR="00B45594" w:rsidRDefault="005C173F" w:rsidP="00055BFA">
            <w:pPr>
              <w:spacing w:after="0"/>
              <w:rPr>
                <w:rFonts w:ascii="Arial" w:hAnsi="Arial" w:cs="Arial"/>
                <w:b/>
                <w:sz w:val="24"/>
                <w:szCs w:val="24"/>
              </w:rPr>
            </w:pPr>
            <w:r>
              <w:rPr>
                <w:rFonts w:ascii="Arial" w:hAnsi="Arial" w:cs="Arial"/>
                <w:b/>
                <w:sz w:val="24"/>
                <w:szCs w:val="24"/>
              </w:rPr>
              <w:t>12</w:t>
            </w:r>
            <w:r w:rsidR="00B45594">
              <w:rPr>
                <w:rFonts w:ascii="Arial" w:hAnsi="Arial" w:cs="Arial"/>
                <w:b/>
                <w:sz w:val="24"/>
                <w:szCs w:val="24"/>
              </w:rPr>
              <w:t>.</w:t>
            </w:r>
          </w:p>
        </w:tc>
        <w:tc>
          <w:tcPr>
            <w:tcW w:w="8611" w:type="dxa"/>
          </w:tcPr>
          <w:p w14:paraId="1E36453A" w14:textId="77777777" w:rsidR="00B45594" w:rsidRDefault="00B45594" w:rsidP="00055BFA">
            <w:pPr>
              <w:spacing w:after="0"/>
              <w:rPr>
                <w:rFonts w:ascii="Arial" w:hAnsi="Arial" w:cs="Arial"/>
                <w:b/>
                <w:sz w:val="24"/>
                <w:szCs w:val="24"/>
                <w:u w:val="single"/>
              </w:rPr>
            </w:pPr>
            <w:r>
              <w:rPr>
                <w:rFonts w:ascii="Arial" w:hAnsi="Arial" w:cs="Arial"/>
                <w:b/>
                <w:sz w:val="24"/>
                <w:szCs w:val="24"/>
                <w:u w:val="single"/>
              </w:rPr>
              <w:t>ANNEXES</w:t>
            </w:r>
          </w:p>
          <w:p w14:paraId="4C48FAF1" w14:textId="77777777" w:rsidR="00C06627" w:rsidRDefault="008A49E0" w:rsidP="00055BFA">
            <w:pPr>
              <w:spacing w:after="0"/>
              <w:rPr>
                <w:rFonts w:ascii="Arial" w:hAnsi="Arial" w:cs="Arial"/>
                <w:bCs/>
                <w:sz w:val="24"/>
                <w:szCs w:val="24"/>
              </w:rPr>
            </w:pPr>
            <w:r>
              <w:rPr>
                <w:rFonts w:ascii="Arial" w:hAnsi="Arial" w:cs="Arial"/>
                <w:bCs/>
                <w:sz w:val="24"/>
                <w:szCs w:val="24"/>
              </w:rPr>
              <w:t xml:space="preserve">Appendix 1 – </w:t>
            </w:r>
            <w:r w:rsidR="007E4957">
              <w:rPr>
                <w:rFonts w:ascii="Arial" w:hAnsi="Arial" w:cs="Arial"/>
                <w:bCs/>
                <w:sz w:val="24"/>
                <w:szCs w:val="24"/>
              </w:rPr>
              <w:t>DPO Role Compliance</w:t>
            </w:r>
          </w:p>
          <w:p w14:paraId="230A7373" w14:textId="70DC3E25" w:rsidR="009D49B9" w:rsidRPr="008A49E0" w:rsidRDefault="009D49B9" w:rsidP="00055BFA">
            <w:pPr>
              <w:spacing w:after="0"/>
              <w:rPr>
                <w:rFonts w:ascii="Arial" w:hAnsi="Arial" w:cs="Arial"/>
                <w:bCs/>
                <w:sz w:val="24"/>
                <w:szCs w:val="24"/>
              </w:rPr>
            </w:pPr>
          </w:p>
        </w:tc>
      </w:tr>
    </w:tbl>
    <w:p w14:paraId="2EF5AB5C" w14:textId="0B349C7E" w:rsidR="00421754" w:rsidRDefault="00421754">
      <w:pPr>
        <w:rPr>
          <w:rFonts w:ascii="Arial" w:hAnsi="Arial" w:cs="Arial"/>
          <w:b/>
          <w:color w:val="A6A6A6"/>
        </w:rPr>
      </w:pPr>
    </w:p>
    <w:sectPr w:rsidR="00421754" w:rsidSect="00D22780">
      <w:headerReference w:type="even" r:id="rId8"/>
      <w:headerReference w:type="default" r:id="rId9"/>
      <w:footerReference w:type="even" r:id="rId10"/>
      <w:footerReference w:type="default" r:id="rId11"/>
      <w:headerReference w:type="first" r:id="rId12"/>
      <w:footerReference w:type="first" r:id="rId13"/>
      <w:pgSz w:w="11906" w:h="16838" w:code="9"/>
      <w:pgMar w:top="454" w:right="1418" w:bottom="340"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B6DF" w14:textId="77777777" w:rsidR="007E4957" w:rsidRDefault="007E4957" w:rsidP="00D26302">
      <w:pPr>
        <w:spacing w:after="0" w:line="240" w:lineRule="auto"/>
      </w:pPr>
      <w:r>
        <w:separator/>
      </w:r>
    </w:p>
  </w:endnote>
  <w:endnote w:type="continuationSeparator" w:id="0">
    <w:p w14:paraId="6ECE2865" w14:textId="77777777" w:rsidR="007E4957" w:rsidRDefault="007E4957" w:rsidP="00D26302">
      <w:pPr>
        <w:spacing w:after="0" w:line="240" w:lineRule="auto"/>
      </w:pPr>
      <w:r>
        <w:continuationSeparator/>
      </w:r>
    </w:p>
  </w:endnote>
  <w:endnote w:type="continuationNotice" w:id="1">
    <w:p w14:paraId="560FCA7F" w14:textId="77777777" w:rsidR="007E4957" w:rsidRDefault="007E4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D795" w14:textId="77777777" w:rsidR="00C06627" w:rsidRDefault="00C06627" w:rsidP="00D26302">
    <w:pPr>
      <w:pStyle w:val="Footer"/>
      <w:spacing w:after="0"/>
      <w:jc w:val="center"/>
      <w:rPr>
        <w:rFonts w:ascii="Arial" w:hAnsi="Arial" w:cs="Arial"/>
        <w:b/>
        <w:color w:val="FF0000"/>
        <w:sz w:val="24"/>
      </w:rPr>
    </w:pPr>
    <w:bookmarkStart w:id="2" w:name="aliashDefaultHeaderandFo1FooterEvenPages"/>
  </w:p>
  <w:bookmarkEnd w:id="2"/>
  <w:p w14:paraId="47415B41" w14:textId="77777777" w:rsidR="00C06627" w:rsidRDefault="00C0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5536" w14:textId="77777777" w:rsidR="00160E0B" w:rsidRDefault="00160E0B">
    <w:pPr>
      <w:pStyle w:val="Footer"/>
      <w:jc w:val="center"/>
    </w:pPr>
    <w:r>
      <w:fldChar w:fldCharType="begin"/>
    </w:r>
    <w:r>
      <w:instrText xml:space="preserve"> PAGE   \* MERGEFORMAT </w:instrText>
    </w:r>
    <w:r>
      <w:fldChar w:fldCharType="separate"/>
    </w:r>
    <w:r>
      <w:rPr>
        <w:noProof/>
      </w:rPr>
      <w:t>2</w:t>
    </w:r>
    <w:r>
      <w:rPr>
        <w:noProof/>
      </w:rPr>
      <w:fldChar w:fldCharType="end"/>
    </w:r>
  </w:p>
  <w:p w14:paraId="630AD65A" w14:textId="77777777" w:rsidR="00C06627" w:rsidRDefault="00C0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4E74" w14:textId="77777777" w:rsidR="00C06627" w:rsidRDefault="00C06627" w:rsidP="00D26302">
    <w:pPr>
      <w:pStyle w:val="Footer"/>
      <w:spacing w:after="0"/>
      <w:jc w:val="center"/>
      <w:rPr>
        <w:rFonts w:ascii="Arial" w:hAnsi="Arial" w:cs="Arial"/>
        <w:b/>
        <w:color w:val="FF0000"/>
        <w:sz w:val="24"/>
      </w:rPr>
    </w:pPr>
    <w:bookmarkStart w:id="4" w:name="aliashDefaultHeaderandFo1FooterFirstPage"/>
  </w:p>
  <w:bookmarkEnd w:id="4"/>
  <w:p w14:paraId="35E0ADB4" w14:textId="77777777" w:rsidR="00C06627" w:rsidRDefault="00C0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7323" w14:textId="77777777" w:rsidR="007E4957" w:rsidRDefault="007E4957" w:rsidP="00D26302">
      <w:pPr>
        <w:spacing w:after="0" w:line="240" w:lineRule="auto"/>
      </w:pPr>
      <w:r>
        <w:separator/>
      </w:r>
    </w:p>
  </w:footnote>
  <w:footnote w:type="continuationSeparator" w:id="0">
    <w:p w14:paraId="7EA2FF49" w14:textId="77777777" w:rsidR="007E4957" w:rsidRDefault="007E4957" w:rsidP="00D26302">
      <w:pPr>
        <w:spacing w:after="0" w:line="240" w:lineRule="auto"/>
      </w:pPr>
      <w:r>
        <w:continuationSeparator/>
      </w:r>
    </w:p>
  </w:footnote>
  <w:footnote w:type="continuationNotice" w:id="1">
    <w:p w14:paraId="616AB4E1" w14:textId="77777777" w:rsidR="007E4957" w:rsidRDefault="007E49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9902" w14:textId="77777777" w:rsidR="00C06627" w:rsidRDefault="00C06627" w:rsidP="00D26302">
    <w:pPr>
      <w:pStyle w:val="Header"/>
      <w:spacing w:after="0"/>
      <w:jc w:val="center"/>
      <w:rPr>
        <w:rFonts w:ascii="Arial" w:hAnsi="Arial" w:cs="Arial"/>
        <w:b/>
        <w:color w:val="FF0000"/>
        <w:sz w:val="24"/>
      </w:rPr>
    </w:pPr>
    <w:bookmarkStart w:id="0" w:name="aliashDefaultHeaderandFo1HeaderEvenPages"/>
  </w:p>
  <w:bookmarkEnd w:id="0"/>
  <w:p w14:paraId="596D95A7" w14:textId="77777777" w:rsidR="00C06627" w:rsidRDefault="00C0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920B" w14:textId="77777777" w:rsidR="00C06627" w:rsidRDefault="00C06627" w:rsidP="00D26302">
    <w:pPr>
      <w:pStyle w:val="Header"/>
      <w:spacing w:after="0"/>
      <w:jc w:val="center"/>
      <w:rPr>
        <w:rFonts w:ascii="Arial" w:hAnsi="Arial" w:cs="Arial"/>
        <w:b/>
        <w:color w:val="FF0000"/>
        <w:sz w:val="24"/>
      </w:rPr>
    </w:pPr>
    <w:bookmarkStart w:id="1" w:name="aliashDefaultHeaderandFoot1HeaderPrimary"/>
  </w:p>
  <w:bookmarkEnd w:id="1"/>
  <w:p w14:paraId="2F87A6D5" w14:textId="77777777" w:rsidR="00C06627" w:rsidRDefault="00C0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AE0D" w14:textId="77777777" w:rsidR="00C06627" w:rsidRDefault="00C06627" w:rsidP="00D26302">
    <w:pPr>
      <w:pStyle w:val="Header"/>
      <w:spacing w:after="0"/>
      <w:jc w:val="center"/>
      <w:rPr>
        <w:rFonts w:ascii="Arial" w:hAnsi="Arial" w:cs="Arial"/>
        <w:b/>
        <w:color w:val="FF0000"/>
        <w:sz w:val="24"/>
      </w:rPr>
    </w:pPr>
    <w:bookmarkStart w:id="3" w:name="aliashDefaultHeaderandFo1HeaderFirstPage"/>
  </w:p>
  <w:bookmarkEnd w:id="3"/>
  <w:p w14:paraId="57BE0A6E" w14:textId="77777777" w:rsidR="00C06627" w:rsidRDefault="00C0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18"/>
    <w:multiLevelType w:val="hybridMultilevel"/>
    <w:tmpl w:val="05F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C43A7"/>
    <w:multiLevelType w:val="hybridMultilevel"/>
    <w:tmpl w:val="7826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52589"/>
    <w:multiLevelType w:val="hybridMultilevel"/>
    <w:tmpl w:val="882C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3170A"/>
    <w:multiLevelType w:val="hybridMultilevel"/>
    <w:tmpl w:val="1FEC08DC"/>
    <w:lvl w:ilvl="0" w:tplc="B4EC3A18">
      <w:start w:val="3"/>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1338D"/>
    <w:multiLevelType w:val="hybridMultilevel"/>
    <w:tmpl w:val="EF4AAA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54DB6"/>
    <w:multiLevelType w:val="hybridMultilevel"/>
    <w:tmpl w:val="60E47526"/>
    <w:lvl w:ilvl="0" w:tplc="3A227DC4">
      <w:start w:val="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30327"/>
    <w:multiLevelType w:val="hybridMultilevel"/>
    <w:tmpl w:val="4EB28EAE"/>
    <w:lvl w:ilvl="0" w:tplc="3A227DC4">
      <w:start w:val="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3596E"/>
    <w:multiLevelType w:val="hybridMultilevel"/>
    <w:tmpl w:val="31D8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D024D"/>
    <w:multiLevelType w:val="multilevel"/>
    <w:tmpl w:val="FAE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3066B0"/>
    <w:multiLevelType w:val="multilevel"/>
    <w:tmpl w:val="912E18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8401A"/>
    <w:multiLevelType w:val="hybridMultilevel"/>
    <w:tmpl w:val="E35C06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035412">
    <w:abstractNumId w:val="0"/>
  </w:num>
  <w:num w:numId="2" w16cid:durableId="951938117">
    <w:abstractNumId w:val="2"/>
  </w:num>
  <w:num w:numId="3" w16cid:durableId="248469800">
    <w:abstractNumId w:val="1"/>
  </w:num>
  <w:num w:numId="4" w16cid:durableId="528223406">
    <w:abstractNumId w:val="6"/>
  </w:num>
  <w:num w:numId="5" w16cid:durableId="1694840527">
    <w:abstractNumId w:val="5"/>
  </w:num>
  <w:num w:numId="6" w16cid:durableId="1634141786">
    <w:abstractNumId w:val="3"/>
  </w:num>
  <w:num w:numId="7" w16cid:durableId="1370110444">
    <w:abstractNumId w:val="8"/>
  </w:num>
  <w:num w:numId="8" w16cid:durableId="1416897659">
    <w:abstractNumId w:val="4"/>
  </w:num>
  <w:num w:numId="9" w16cid:durableId="1359891924">
    <w:abstractNumId w:val="10"/>
  </w:num>
  <w:num w:numId="10" w16cid:durableId="1378428672">
    <w:abstractNumId w:val="7"/>
  </w:num>
  <w:num w:numId="11" w16cid:durableId="1801679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25931"/>
    <w:rsid w:val="000415D2"/>
    <w:rsid w:val="00055BFA"/>
    <w:rsid w:val="00067819"/>
    <w:rsid w:val="00076D01"/>
    <w:rsid w:val="0008550E"/>
    <w:rsid w:val="000A4F7E"/>
    <w:rsid w:val="000B3AE0"/>
    <w:rsid w:val="000B5308"/>
    <w:rsid w:val="000B6657"/>
    <w:rsid w:val="000E23CE"/>
    <w:rsid w:val="000F7AE1"/>
    <w:rsid w:val="0010095B"/>
    <w:rsid w:val="00107A42"/>
    <w:rsid w:val="001201D9"/>
    <w:rsid w:val="00126434"/>
    <w:rsid w:val="0013582D"/>
    <w:rsid w:val="00136A58"/>
    <w:rsid w:val="00151027"/>
    <w:rsid w:val="00160E0B"/>
    <w:rsid w:val="00167315"/>
    <w:rsid w:val="00171FDE"/>
    <w:rsid w:val="00175F2C"/>
    <w:rsid w:val="00176463"/>
    <w:rsid w:val="00176CBF"/>
    <w:rsid w:val="001863C0"/>
    <w:rsid w:val="001924C3"/>
    <w:rsid w:val="001B025F"/>
    <w:rsid w:val="001B4580"/>
    <w:rsid w:val="001C7E3F"/>
    <w:rsid w:val="001E7074"/>
    <w:rsid w:val="001F41AD"/>
    <w:rsid w:val="0020118A"/>
    <w:rsid w:val="00206D13"/>
    <w:rsid w:val="002134A5"/>
    <w:rsid w:val="00214A16"/>
    <w:rsid w:val="00215A35"/>
    <w:rsid w:val="002247F4"/>
    <w:rsid w:val="002470ED"/>
    <w:rsid w:val="00255E6D"/>
    <w:rsid w:val="00257714"/>
    <w:rsid w:val="00285FD8"/>
    <w:rsid w:val="0029270D"/>
    <w:rsid w:val="00292C57"/>
    <w:rsid w:val="00294700"/>
    <w:rsid w:val="002A0217"/>
    <w:rsid w:val="002B4A8D"/>
    <w:rsid w:val="002B4F84"/>
    <w:rsid w:val="002C1C8B"/>
    <w:rsid w:val="002C7E9B"/>
    <w:rsid w:val="002D1CB7"/>
    <w:rsid w:val="003377A4"/>
    <w:rsid w:val="0034123A"/>
    <w:rsid w:val="00350BA4"/>
    <w:rsid w:val="0036206A"/>
    <w:rsid w:val="00366242"/>
    <w:rsid w:val="00380C52"/>
    <w:rsid w:val="00394D6A"/>
    <w:rsid w:val="00397144"/>
    <w:rsid w:val="003A0055"/>
    <w:rsid w:val="003A2756"/>
    <w:rsid w:val="003B0D93"/>
    <w:rsid w:val="003B192E"/>
    <w:rsid w:val="003E5F36"/>
    <w:rsid w:val="003E7FA2"/>
    <w:rsid w:val="003F4334"/>
    <w:rsid w:val="00420F62"/>
    <w:rsid w:val="00421754"/>
    <w:rsid w:val="00421EBB"/>
    <w:rsid w:val="0042426F"/>
    <w:rsid w:val="00430A9E"/>
    <w:rsid w:val="004369EF"/>
    <w:rsid w:val="004371EB"/>
    <w:rsid w:val="00453288"/>
    <w:rsid w:val="0048517A"/>
    <w:rsid w:val="0049211A"/>
    <w:rsid w:val="004B394E"/>
    <w:rsid w:val="004E3847"/>
    <w:rsid w:val="004F0723"/>
    <w:rsid w:val="004F7820"/>
    <w:rsid w:val="00512E1F"/>
    <w:rsid w:val="00515983"/>
    <w:rsid w:val="00516337"/>
    <w:rsid w:val="005229A6"/>
    <w:rsid w:val="005243EB"/>
    <w:rsid w:val="00526EA0"/>
    <w:rsid w:val="005428EA"/>
    <w:rsid w:val="00550B10"/>
    <w:rsid w:val="005576C1"/>
    <w:rsid w:val="00563628"/>
    <w:rsid w:val="00571D3B"/>
    <w:rsid w:val="005734D9"/>
    <w:rsid w:val="00581108"/>
    <w:rsid w:val="00582577"/>
    <w:rsid w:val="0059135C"/>
    <w:rsid w:val="00596496"/>
    <w:rsid w:val="005A4ABD"/>
    <w:rsid w:val="005A7A0C"/>
    <w:rsid w:val="005B4076"/>
    <w:rsid w:val="005C08D4"/>
    <w:rsid w:val="005C173F"/>
    <w:rsid w:val="005D3479"/>
    <w:rsid w:val="005D40F6"/>
    <w:rsid w:val="005F021E"/>
    <w:rsid w:val="00600017"/>
    <w:rsid w:val="00601CB4"/>
    <w:rsid w:val="00603CE0"/>
    <w:rsid w:val="0060704C"/>
    <w:rsid w:val="0061291F"/>
    <w:rsid w:val="006223CD"/>
    <w:rsid w:val="00622EBA"/>
    <w:rsid w:val="00623FCB"/>
    <w:rsid w:val="00627E42"/>
    <w:rsid w:val="00631410"/>
    <w:rsid w:val="0063754E"/>
    <w:rsid w:val="00660A62"/>
    <w:rsid w:val="006629B8"/>
    <w:rsid w:val="00670992"/>
    <w:rsid w:val="00680C0B"/>
    <w:rsid w:val="00683919"/>
    <w:rsid w:val="0068508D"/>
    <w:rsid w:val="0068664F"/>
    <w:rsid w:val="006874E2"/>
    <w:rsid w:val="00687580"/>
    <w:rsid w:val="006A69A7"/>
    <w:rsid w:val="006C0043"/>
    <w:rsid w:val="006E0B1F"/>
    <w:rsid w:val="006E1262"/>
    <w:rsid w:val="006F4673"/>
    <w:rsid w:val="006F46C7"/>
    <w:rsid w:val="007028C5"/>
    <w:rsid w:val="00704DD5"/>
    <w:rsid w:val="007068AB"/>
    <w:rsid w:val="00706965"/>
    <w:rsid w:val="00710AFF"/>
    <w:rsid w:val="0073477C"/>
    <w:rsid w:val="007459AF"/>
    <w:rsid w:val="00750859"/>
    <w:rsid w:val="00773811"/>
    <w:rsid w:val="0077430F"/>
    <w:rsid w:val="00781490"/>
    <w:rsid w:val="00792DA0"/>
    <w:rsid w:val="007969F7"/>
    <w:rsid w:val="007B3A53"/>
    <w:rsid w:val="007D0E94"/>
    <w:rsid w:val="007D2F59"/>
    <w:rsid w:val="007E4957"/>
    <w:rsid w:val="007E5368"/>
    <w:rsid w:val="007E62D7"/>
    <w:rsid w:val="007F1D0F"/>
    <w:rsid w:val="007F2497"/>
    <w:rsid w:val="00822B6A"/>
    <w:rsid w:val="00823725"/>
    <w:rsid w:val="00860F45"/>
    <w:rsid w:val="0086153F"/>
    <w:rsid w:val="00863459"/>
    <w:rsid w:val="00871672"/>
    <w:rsid w:val="00877B47"/>
    <w:rsid w:val="008815F7"/>
    <w:rsid w:val="0089364C"/>
    <w:rsid w:val="00897ACE"/>
    <w:rsid w:val="008A49E0"/>
    <w:rsid w:val="008B2AFA"/>
    <w:rsid w:val="008D4516"/>
    <w:rsid w:val="008D4B6F"/>
    <w:rsid w:val="008D4F18"/>
    <w:rsid w:val="008D6DE6"/>
    <w:rsid w:val="008D7F51"/>
    <w:rsid w:val="00902CF3"/>
    <w:rsid w:val="0090478A"/>
    <w:rsid w:val="00912418"/>
    <w:rsid w:val="00915FCB"/>
    <w:rsid w:val="00936558"/>
    <w:rsid w:val="00950DC7"/>
    <w:rsid w:val="009624AE"/>
    <w:rsid w:val="00962F17"/>
    <w:rsid w:val="00977466"/>
    <w:rsid w:val="00983BA5"/>
    <w:rsid w:val="00993363"/>
    <w:rsid w:val="00997C5E"/>
    <w:rsid w:val="009B1020"/>
    <w:rsid w:val="009C2286"/>
    <w:rsid w:val="009C5367"/>
    <w:rsid w:val="009C6621"/>
    <w:rsid w:val="009C6B78"/>
    <w:rsid w:val="009D49B9"/>
    <w:rsid w:val="009D5B87"/>
    <w:rsid w:val="009D7946"/>
    <w:rsid w:val="009E19DB"/>
    <w:rsid w:val="009E2A8D"/>
    <w:rsid w:val="009E3C87"/>
    <w:rsid w:val="009E5D83"/>
    <w:rsid w:val="009F0FB7"/>
    <w:rsid w:val="009F24F7"/>
    <w:rsid w:val="009F3F47"/>
    <w:rsid w:val="009F4F07"/>
    <w:rsid w:val="00A14201"/>
    <w:rsid w:val="00A22A95"/>
    <w:rsid w:val="00A262EF"/>
    <w:rsid w:val="00A40873"/>
    <w:rsid w:val="00A45296"/>
    <w:rsid w:val="00A45A11"/>
    <w:rsid w:val="00A506A7"/>
    <w:rsid w:val="00A50B22"/>
    <w:rsid w:val="00A5763E"/>
    <w:rsid w:val="00A57C7D"/>
    <w:rsid w:val="00A81AA7"/>
    <w:rsid w:val="00A903BF"/>
    <w:rsid w:val="00AA405D"/>
    <w:rsid w:val="00AA4FED"/>
    <w:rsid w:val="00AC09AC"/>
    <w:rsid w:val="00AC7AD2"/>
    <w:rsid w:val="00AD2496"/>
    <w:rsid w:val="00AE35D9"/>
    <w:rsid w:val="00AE5F71"/>
    <w:rsid w:val="00AF3ABA"/>
    <w:rsid w:val="00AF54D4"/>
    <w:rsid w:val="00B01D69"/>
    <w:rsid w:val="00B03A6E"/>
    <w:rsid w:val="00B0442F"/>
    <w:rsid w:val="00B06F74"/>
    <w:rsid w:val="00B166D6"/>
    <w:rsid w:val="00B3006F"/>
    <w:rsid w:val="00B416FC"/>
    <w:rsid w:val="00B423D9"/>
    <w:rsid w:val="00B45594"/>
    <w:rsid w:val="00B47E95"/>
    <w:rsid w:val="00B5284C"/>
    <w:rsid w:val="00B5306D"/>
    <w:rsid w:val="00B55FA0"/>
    <w:rsid w:val="00B702B2"/>
    <w:rsid w:val="00B70963"/>
    <w:rsid w:val="00B80A7C"/>
    <w:rsid w:val="00B81554"/>
    <w:rsid w:val="00B913D2"/>
    <w:rsid w:val="00B92810"/>
    <w:rsid w:val="00BA28D8"/>
    <w:rsid w:val="00BB5519"/>
    <w:rsid w:val="00BC5418"/>
    <w:rsid w:val="00BF57F1"/>
    <w:rsid w:val="00C06627"/>
    <w:rsid w:val="00C166E0"/>
    <w:rsid w:val="00C24A28"/>
    <w:rsid w:val="00C31A33"/>
    <w:rsid w:val="00C417A8"/>
    <w:rsid w:val="00C42C63"/>
    <w:rsid w:val="00C51755"/>
    <w:rsid w:val="00C62EFE"/>
    <w:rsid w:val="00C80DCB"/>
    <w:rsid w:val="00C86026"/>
    <w:rsid w:val="00CB0710"/>
    <w:rsid w:val="00CB0BDC"/>
    <w:rsid w:val="00CD093B"/>
    <w:rsid w:val="00CD3E63"/>
    <w:rsid w:val="00CE10B1"/>
    <w:rsid w:val="00CF106B"/>
    <w:rsid w:val="00CF6488"/>
    <w:rsid w:val="00D002B8"/>
    <w:rsid w:val="00D049BA"/>
    <w:rsid w:val="00D22780"/>
    <w:rsid w:val="00D2523D"/>
    <w:rsid w:val="00D26302"/>
    <w:rsid w:val="00D266AC"/>
    <w:rsid w:val="00D32955"/>
    <w:rsid w:val="00D42FDB"/>
    <w:rsid w:val="00D456E1"/>
    <w:rsid w:val="00D66A92"/>
    <w:rsid w:val="00D66DF3"/>
    <w:rsid w:val="00D73678"/>
    <w:rsid w:val="00D742F8"/>
    <w:rsid w:val="00D85019"/>
    <w:rsid w:val="00DA41DF"/>
    <w:rsid w:val="00DC21E8"/>
    <w:rsid w:val="00DC7121"/>
    <w:rsid w:val="00DD3825"/>
    <w:rsid w:val="00DD46B3"/>
    <w:rsid w:val="00DE0388"/>
    <w:rsid w:val="00DE654B"/>
    <w:rsid w:val="00DE7EC8"/>
    <w:rsid w:val="00DF30EC"/>
    <w:rsid w:val="00E15B09"/>
    <w:rsid w:val="00E16A95"/>
    <w:rsid w:val="00E21712"/>
    <w:rsid w:val="00E353C3"/>
    <w:rsid w:val="00E445A3"/>
    <w:rsid w:val="00E5619C"/>
    <w:rsid w:val="00E62247"/>
    <w:rsid w:val="00E84899"/>
    <w:rsid w:val="00EB02BC"/>
    <w:rsid w:val="00EB5A4D"/>
    <w:rsid w:val="00EC4986"/>
    <w:rsid w:val="00ED5290"/>
    <w:rsid w:val="00ED676C"/>
    <w:rsid w:val="00EE0539"/>
    <w:rsid w:val="00EE473E"/>
    <w:rsid w:val="00EF0FF3"/>
    <w:rsid w:val="00EF3878"/>
    <w:rsid w:val="00F0225D"/>
    <w:rsid w:val="00F06BFD"/>
    <w:rsid w:val="00F178CF"/>
    <w:rsid w:val="00F20F29"/>
    <w:rsid w:val="00F33771"/>
    <w:rsid w:val="00F35062"/>
    <w:rsid w:val="00F352AC"/>
    <w:rsid w:val="00F436E6"/>
    <w:rsid w:val="00F4400C"/>
    <w:rsid w:val="00F46304"/>
    <w:rsid w:val="00F52D94"/>
    <w:rsid w:val="00F55B85"/>
    <w:rsid w:val="00F611AF"/>
    <w:rsid w:val="00F670B9"/>
    <w:rsid w:val="00F72868"/>
    <w:rsid w:val="00F827E9"/>
    <w:rsid w:val="00F834BD"/>
    <w:rsid w:val="00F8795E"/>
    <w:rsid w:val="00F90924"/>
    <w:rsid w:val="00F97327"/>
    <w:rsid w:val="00FB4F70"/>
    <w:rsid w:val="00FB5AC9"/>
    <w:rsid w:val="00FD3D30"/>
    <w:rsid w:val="00FE10E3"/>
    <w:rsid w:val="00FF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0B1059"/>
  <w15:chartTrackingRefBased/>
  <w15:docId w15:val="{B27D39DB-9B55-43F2-8841-D402F096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link w:val="Heading3Char"/>
    <w:uiPriority w:val="9"/>
    <w:qFormat/>
    <w:rsid w:val="003B0D93"/>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paragraph" w:styleId="NormalWeb">
    <w:name w:val="Normal (Web)"/>
    <w:basedOn w:val="Normal"/>
    <w:uiPriority w:val="99"/>
    <w:unhideWhenUsed/>
    <w:rsid w:val="00D266AC"/>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266AC"/>
    <w:rPr>
      <w:b/>
      <w:bCs/>
    </w:rPr>
  </w:style>
  <w:style w:type="paragraph" w:customStyle="1" w:styleId="xmsonormal">
    <w:name w:val="x_msonormal"/>
    <w:basedOn w:val="Normal"/>
    <w:rsid w:val="00AF3ABA"/>
    <w:pPr>
      <w:spacing w:after="0" w:line="240" w:lineRule="auto"/>
    </w:pPr>
    <w:rPr>
      <w:rFonts w:cs="Calibri"/>
      <w:lang w:eastAsia="en-GB"/>
    </w:rPr>
  </w:style>
  <w:style w:type="character" w:styleId="CommentReference">
    <w:name w:val="annotation reference"/>
    <w:uiPriority w:val="99"/>
    <w:semiHidden/>
    <w:unhideWhenUsed/>
    <w:rsid w:val="004371EB"/>
    <w:rPr>
      <w:sz w:val="16"/>
      <w:szCs w:val="16"/>
    </w:rPr>
  </w:style>
  <w:style w:type="paragraph" w:styleId="CommentText">
    <w:name w:val="annotation text"/>
    <w:basedOn w:val="Normal"/>
    <w:link w:val="CommentTextChar"/>
    <w:uiPriority w:val="99"/>
    <w:unhideWhenUsed/>
    <w:rsid w:val="004371EB"/>
    <w:rPr>
      <w:sz w:val="20"/>
      <w:szCs w:val="20"/>
    </w:rPr>
  </w:style>
  <w:style w:type="character" w:customStyle="1" w:styleId="CommentTextChar">
    <w:name w:val="Comment Text Char"/>
    <w:link w:val="CommentText"/>
    <w:uiPriority w:val="99"/>
    <w:rsid w:val="004371EB"/>
    <w:rPr>
      <w:lang w:eastAsia="en-US"/>
    </w:rPr>
  </w:style>
  <w:style w:type="paragraph" w:styleId="CommentSubject">
    <w:name w:val="annotation subject"/>
    <w:basedOn w:val="CommentText"/>
    <w:next w:val="CommentText"/>
    <w:link w:val="CommentSubjectChar"/>
    <w:uiPriority w:val="99"/>
    <w:semiHidden/>
    <w:unhideWhenUsed/>
    <w:rsid w:val="004371EB"/>
    <w:rPr>
      <w:b/>
      <w:bCs/>
    </w:rPr>
  </w:style>
  <w:style w:type="character" w:customStyle="1" w:styleId="CommentSubjectChar">
    <w:name w:val="Comment Subject Char"/>
    <w:link w:val="CommentSubject"/>
    <w:uiPriority w:val="99"/>
    <w:semiHidden/>
    <w:rsid w:val="004371EB"/>
    <w:rPr>
      <w:b/>
      <w:bCs/>
      <w:lang w:eastAsia="en-US"/>
    </w:rPr>
  </w:style>
  <w:style w:type="character" w:customStyle="1" w:styleId="Heading3Char">
    <w:name w:val="Heading 3 Char"/>
    <w:basedOn w:val="DefaultParagraphFont"/>
    <w:link w:val="Heading3"/>
    <w:uiPriority w:val="9"/>
    <w:rsid w:val="003B0D93"/>
    <w:rPr>
      <w:rFonts w:ascii="Times New Roman" w:eastAsia="Times New Roman" w:hAnsi="Times New Roman"/>
      <w:b/>
      <w:bCs/>
      <w:sz w:val="27"/>
      <w:szCs w:val="27"/>
    </w:rPr>
  </w:style>
  <w:style w:type="paragraph" w:styleId="ListParagraph">
    <w:name w:val="List Paragraph"/>
    <w:basedOn w:val="Normal"/>
    <w:uiPriority w:val="34"/>
    <w:qFormat/>
    <w:rsid w:val="0020118A"/>
    <w:pPr>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5229A6"/>
    <w:rPr>
      <w:color w:val="605E5C"/>
      <w:shd w:val="clear" w:color="auto" w:fill="E1DFDD"/>
    </w:rPr>
  </w:style>
  <w:style w:type="paragraph" w:styleId="Revision">
    <w:name w:val="Revision"/>
    <w:hidden/>
    <w:uiPriority w:val="99"/>
    <w:semiHidden/>
    <w:rsid w:val="007E49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93120">
      <w:bodyDiv w:val="1"/>
      <w:marLeft w:val="0"/>
      <w:marRight w:val="0"/>
      <w:marTop w:val="0"/>
      <w:marBottom w:val="0"/>
      <w:divBdr>
        <w:top w:val="none" w:sz="0" w:space="0" w:color="auto"/>
        <w:left w:val="none" w:sz="0" w:space="0" w:color="auto"/>
        <w:bottom w:val="none" w:sz="0" w:space="0" w:color="auto"/>
        <w:right w:val="none" w:sz="0" w:space="0" w:color="auto"/>
      </w:divBdr>
    </w:div>
    <w:div w:id="593637760">
      <w:bodyDiv w:val="1"/>
      <w:marLeft w:val="0"/>
      <w:marRight w:val="0"/>
      <w:marTop w:val="0"/>
      <w:marBottom w:val="0"/>
      <w:divBdr>
        <w:top w:val="none" w:sz="0" w:space="0" w:color="auto"/>
        <w:left w:val="none" w:sz="0" w:space="0" w:color="auto"/>
        <w:bottom w:val="none" w:sz="0" w:space="0" w:color="auto"/>
        <w:right w:val="none" w:sz="0" w:space="0" w:color="auto"/>
      </w:divBdr>
    </w:div>
    <w:div w:id="680619816">
      <w:bodyDiv w:val="1"/>
      <w:marLeft w:val="0"/>
      <w:marRight w:val="0"/>
      <w:marTop w:val="0"/>
      <w:marBottom w:val="0"/>
      <w:divBdr>
        <w:top w:val="none" w:sz="0" w:space="0" w:color="auto"/>
        <w:left w:val="none" w:sz="0" w:space="0" w:color="auto"/>
        <w:bottom w:val="none" w:sz="0" w:space="0" w:color="auto"/>
        <w:right w:val="none" w:sz="0" w:space="0" w:color="auto"/>
      </w:divBdr>
    </w:div>
    <w:div w:id="993919802">
      <w:bodyDiv w:val="1"/>
      <w:marLeft w:val="0"/>
      <w:marRight w:val="0"/>
      <w:marTop w:val="0"/>
      <w:marBottom w:val="0"/>
      <w:divBdr>
        <w:top w:val="none" w:sz="0" w:space="0" w:color="auto"/>
        <w:left w:val="none" w:sz="0" w:space="0" w:color="auto"/>
        <w:bottom w:val="none" w:sz="0" w:space="0" w:color="auto"/>
        <w:right w:val="none" w:sz="0" w:space="0" w:color="auto"/>
      </w:divBdr>
    </w:div>
    <w:div w:id="1081878043">
      <w:bodyDiv w:val="1"/>
      <w:marLeft w:val="0"/>
      <w:marRight w:val="0"/>
      <w:marTop w:val="0"/>
      <w:marBottom w:val="0"/>
      <w:divBdr>
        <w:top w:val="none" w:sz="0" w:space="0" w:color="auto"/>
        <w:left w:val="none" w:sz="0" w:space="0" w:color="auto"/>
        <w:bottom w:val="none" w:sz="0" w:space="0" w:color="auto"/>
        <w:right w:val="none" w:sz="0" w:space="0" w:color="auto"/>
      </w:divBdr>
    </w:div>
    <w:div w:id="1438985405">
      <w:bodyDiv w:val="1"/>
      <w:marLeft w:val="0"/>
      <w:marRight w:val="0"/>
      <w:marTop w:val="0"/>
      <w:marBottom w:val="0"/>
      <w:divBdr>
        <w:top w:val="none" w:sz="0" w:space="0" w:color="auto"/>
        <w:left w:val="none" w:sz="0" w:space="0" w:color="auto"/>
        <w:bottom w:val="none" w:sz="0" w:space="0" w:color="auto"/>
        <w:right w:val="none" w:sz="0" w:space="0" w:color="auto"/>
      </w:divBdr>
    </w:div>
    <w:div w:id="1593318575">
      <w:bodyDiv w:val="1"/>
      <w:marLeft w:val="0"/>
      <w:marRight w:val="0"/>
      <w:marTop w:val="0"/>
      <w:marBottom w:val="0"/>
      <w:divBdr>
        <w:top w:val="none" w:sz="0" w:space="0" w:color="auto"/>
        <w:left w:val="none" w:sz="0" w:space="0" w:color="auto"/>
        <w:bottom w:val="none" w:sz="0" w:space="0" w:color="auto"/>
        <w:right w:val="none" w:sz="0" w:space="0" w:color="auto"/>
      </w:divBdr>
    </w:div>
    <w:div w:id="1888757027">
      <w:bodyDiv w:val="1"/>
      <w:marLeft w:val="0"/>
      <w:marRight w:val="0"/>
      <w:marTop w:val="0"/>
      <w:marBottom w:val="0"/>
      <w:divBdr>
        <w:top w:val="none" w:sz="0" w:space="0" w:color="auto"/>
        <w:left w:val="none" w:sz="0" w:space="0" w:color="auto"/>
        <w:bottom w:val="none" w:sz="0" w:space="0" w:color="auto"/>
        <w:right w:val="none" w:sz="0" w:space="0" w:color="auto"/>
      </w:divBdr>
    </w:div>
    <w:div w:id="1893034124">
      <w:bodyDiv w:val="1"/>
      <w:marLeft w:val="0"/>
      <w:marRight w:val="0"/>
      <w:marTop w:val="0"/>
      <w:marBottom w:val="0"/>
      <w:divBdr>
        <w:top w:val="none" w:sz="0" w:space="0" w:color="auto"/>
        <w:left w:val="none" w:sz="0" w:space="0" w:color="auto"/>
        <w:bottom w:val="none" w:sz="0" w:space="0" w:color="auto"/>
        <w:right w:val="none" w:sz="0" w:space="0" w:color="auto"/>
      </w:divBdr>
    </w:div>
    <w:div w:id="20800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6214D-A905-4D73-A1A8-9064EFA4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15958</CharactersWithSpaces>
  <SharedDoc>false</SharedDoc>
  <HLinks>
    <vt:vector size="6" baseType="variant">
      <vt:variant>
        <vt:i4>3276862</vt:i4>
      </vt:variant>
      <vt:variant>
        <vt:i4>0</vt:i4>
      </vt:variant>
      <vt:variant>
        <vt:i4>0</vt:i4>
      </vt:variant>
      <vt:variant>
        <vt:i4>5</vt:i4>
      </vt:variant>
      <vt:variant>
        <vt:lpwstr>http://www.legislation.gov.uk/ukpga/2017/3/contents/enacted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400280</dc:creator>
  <cp:keywords/>
  <dc:description>Original Content Created Date - 13/05/2021 12:43:00</dc:description>
  <cp:lastModifiedBy>Regan, Joanne</cp:lastModifiedBy>
  <cp:revision>6</cp:revision>
  <cp:lastPrinted>2012-09-20T08:14:00Z</cp:lastPrinted>
  <dcterms:created xsi:type="dcterms:W3CDTF">2025-08-04T11:09:00Z</dcterms:created>
  <dcterms:modified xsi:type="dcterms:W3CDTF">2025-09-18T15:02:00Z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SetDate">
    <vt:lpwstr>2021-04-06T10:19:59.9294312Z</vt:lpwstr>
  </property>
  <property fmtid="{D5CDD505-2E9C-101B-9397-08002B2CF9AE}" pid="11" name="MSIP_Label_f2acd28b-79a3-4a0f-b0ff-4b75658b1549_Name">
    <vt:lpwstr>OFFICIAL</vt:lpwstr>
  </property>
  <property fmtid="{D5CDD505-2E9C-101B-9397-08002B2CF9AE}" pid="12" name="MSIP_Label_f2acd28b-79a3-4a0f-b0ff-4b75658b1549_ActionId">
    <vt:lpwstr>26aeb413-398c-4588-b766-e9c8184c2432</vt:lpwstr>
  </property>
  <property fmtid="{D5CDD505-2E9C-101B-9397-08002B2CF9AE}" pid="13" name="MSIP_Label_f2acd28b-79a3-4a0f-b0ff-4b75658b1549_Extended_MSFT_Method">
    <vt:lpwstr>Automatic</vt:lpwstr>
  </property>
  <property fmtid="{D5CDD505-2E9C-101B-9397-08002B2CF9AE}" pid="14" name="Sensitivity">
    <vt:lpwstr>OFFICIAL</vt:lpwstr>
  </property>
</Properties>
</file>