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227"/>
      </w:tblGrid>
      <w:tr w:rsidR="00320095" w:rsidRPr="00933DD9" w14:paraId="16E2F996" w14:textId="77777777" w:rsidTr="00933DD9">
        <w:tc>
          <w:tcPr>
            <w:tcW w:w="9242" w:type="dxa"/>
            <w:gridSpan w:val="2"/>
            <w:shd w:val="clear" w:color="auto" w:fill="auto"/>
          </w:tcPr>
          <w:p w14:paraId="2063272F"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6C13FEBE" w14:textId="77777777" w:rsidTr="00933DD9">
        <w:tc>
          <w:tcPr>
            <w:tcW w:w="1809" w:type="dxa"/>
            <w:shd w:val="clear" w:color="auto" w:fill="auto"/>
          </w:tcPr>
          <w:p w14:paraId="1C8DBC39" w14:textId="07A050F8" w:rsidR="00320095" w:rsidRPr="00933DD9" w:rsidRDefault="001C746B" w:rsidP="00741E0F">
            <w:pPr>
              <w:rPr>
                <w:rFonts w:ascii="Arial" w:hAnsi="Arial" w:cs="Arial"/>
                <w:sz w:val="24"/>
                <w:szCs w:val="24"/>
              </w:rPr>
            </w:pPr>
            <w:r>
              <w:rPr>
                <w:rFonts w:ascii="Arial" w:hAnsi="Arial" w:cs="Arial"/>
                <w:sz w:val="24"/>
                <w:szCs w:val="24"/>
              </w:rPr>
              <w:t>PCCG-</w:t>
            </w:r>
            <w:r w:rsidR="009C1CDF">
              <w:rPr>
                <w:rFonts w:ascii="Arial" w:hAnsi="Arial" w:cs="Arial"/>
                <w:sz w:val="24"/>
                <w:szCs w:val="24"/>
              </w:rPr>
              <w:t>202</w:t>
            </w:r>
            <w:r w:rsidR="008C1F9C">
              <w:rPr>
                <w:rFonts w:ascii="Arial" w:hAnsi="Arial" w:cs="Arial"/>
                <w:sz w:val="24"/>
                <w:szCs w:val="24"/>
              </w:rPr>
              <w:t>4-35</w:t>
            </w:r>
          </w:p>
        </w:tc>
        <w:tc>
          <w:tcPr>
            <w:tcW w:w="7433" w:type="dxa"/>
            <w:shd w:val="clear" w:color="auto" w:fill="auto"/>
          </w:tcPr>
          <w:p w14:paraId="047A8A30" w14:textId="77777777" w:rsidR="00320095" w:rsidRPr="00933DD9" w:rsidRDefault="002166BD">
            <w:pPr>
              <w:rPr>
                <w:rFonts w:ascii="Arial" w:hAnsi="Arial" w:cs="Arial"/>
                <w:sz w:val="24"/>
                <w:szCs w:val="24"/>
              </w:rPr>
            </w:pPr>
            <w:r w:rsidRPr="00933DD9">
              <w:rPr>
                <w:rFonts w:ascii="Arial" w:hAnsi="Arial" w:cs="Arial"/>
                <w:sz w:val="24"/>
                <w:szCs w:val="24"/>
              </w:rPr>
              <w:t>Police and Crime Commiss</w:t>
            </w:r>
            <w:r w:rsidR="002625E0">
              <w:rPr>
                <w:rFonts w:ascii="Arial" w:hAnsi="Arial" w:cs="Arial"/>
                <w:sz w:val="24"/>
                <w:szCs w:val="24"/>
              </w:rPr>
              <w:t>ioner for Gwent Decision</w:t>
            </w:r>
          </w:p>
        </w:tc>
      </w:tr>
      <w:tr w:rsidR="00320095" w:rsidRPr="00933DD9" w14:paraId="5B5AE7F0" w14:textId="77777777" w:rsidTr="00933DD9">
        <w:tc>
          <w:tcPr>
            <w:tcW w:w="1809" w:type="dxa"/>
            <w:shd w:val="clear" w:color="auto" w:fill="auto"/>
          </w:tcPr>
          <w:p w14:paraId="5620BEC6"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433" w:type="dxa"/>
            <w:shd w:val="clear" w:color="auto" w:fill="auto"/>
          </w:tcPr>
          <w:p w14:paraId="4143A698" w14:textId="468A12F0" w:rsidR="00320095" w:rsidRPr="00933DD9" w:rsidRDefault="00741E0F" w:rsidP="00D0462B">
            <w:pPr>
              <w:jc w:val="both"/>
              <w:rPr>
                <w:rFonts w:ascii="Arial" w:hAnsi="Arial" w:cs="Arial"/>
                <w:sz w:val="24"/>
                <w:szCs w:val="24"/>
              </w:rPr>
            </w:pPr>
            <w:r>
              <w:rPr>
                <w:rFonts w:ascii="Arial" w:hAnsi="Arial" w:cs="Arial"/>
                <w:sz w:val="24"/>
                <w:szCs w:val="24"/>
              </w:rPr>
              <w:t>20</w:t>
            </w:r>
            <w:r w:rsidR="00086F5D">
              <w:rPr>
                <w:rFonts w:ascii="Arial" w:hAnsi="Arial" w:cs="Arial"/>
                <w:sz w:val="24"/>
                <w:szCs w:val="24"/>
              </w:rPr>
              <w:t>2</w:t>
            </w:r>
            <w:r w:rsidR="00BF6E2F">
              <w:rPr>
                <w:rFonts w:ascii="Arial" w:hAnsi="Arial" w:cs="Arial"/>
                <w:sz w:val="24"/>
                <w:szCs w:val="24"/>
              </w:rPr>
              <w:t>5</w:t>
            </w:r>
            <w:r>
              <w:rPr>
                <w:rFonts w:ascii="Arial" w:hAnsi="Arial" w:cs="Arial"/>
                <w:sz w:val="24"/>
                <w:szCs w:val="24"/>
              </w:rPr>
              <w:t>/2</w:t>
            </w:r>
            <w:r w:rsidR="00BF6E2F">
              <w:rPr>
                <w:rFonts w:ascii="Arial" w:hAnsi="Arial" w:cs="Arial"/>
                <w:sz w:val="24"/>
                <w:szCs w:val="24"/>
              </w:rPr>
              <w:t>6</w:t>
            </w:r>
            <w:r w:rsidR="00F7236A">
              <w:rPr>
                <w:rFonts w:ascii="Arial" w:hAnsi="Arial" w:cs="Arial"/>
                <w:sz w:val="24"/>
                <w:szCs w:val="24"/>
              </w:rPr>
              <w:t xml:space="preserve"> </w:t>
            </w:r>
            <w:r w:rsidR="00650D65" w:rsidRPr="00933DD9">
              <w:rPr>
                <w:rFonts w:ascii="Arial" w:hAnsi="Arial" w:cs="Arial"/>
                <w:sz w:val="24"/>
                <w:szCs w:val="24"/>
              </w:rPr>
              <w:t>Police and Crime Commiss</w:t>
            </w:r>
            <w:r w:rsidR="00650D65">
              <w:rPr>
                <w:rFonts w:ascii="Arial" w:hAnsi="Arial" w:cs="Arial"/>
                <w:sz w:val="24"/>
                <w:szCs w:val="24"/>
              </w:rPr>
              <w:t xml:space="preserve">ioner for Gwent </w:t>
            </w:r>
            <w:r w:rsidR="00F7236A">
              <w:rPr>
                <w:rFonts w:ascii="Arial" w:hAnsi="Arial" w:cs="Arial"/>
                <w:sz w:val="24"/>
                <w:szCs w:val="24"/>
              </w:rPr>
              <w:t xml:space="preserve">(PCC) </w:t>
            </w:r>
            <w:r w:rsidR="0029195F">
              <w:rPr>
                <w:rFonts w:ascii="Arial" w:hAnsi="Arial" w:cs="Arial"/>
                <w:sz w:val="24"/>
                <w:szCs w:val="24"/>
              </w:rPr>
              <w:t xml:space="preserve">Police Community Fund Successful Applications </w:t>
            </w:r>
          </w:p>
        </w:tc>
      </w:tr>
      <w:tr w:rsidR="00320095" w:rsidRPr="00933DD9" w14:paraId="2DC2DBA2" w14:textId="77777777" w:rsidTr="00933DD9">
        <w:tc>
          <w:tcPr>
            <w:tcW w:w="1809" w:type="dxa"/>
            <w:shd w:val="clear" w:color="auto" w:fill="auto"/>
          </w:tcPr>
          <w:p w14:paraId="4980D068"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433" w:type="dxa"/>
            <w:shd w:val="clear" w:color="auto" w:fill="auto"/>
          </w:tcPr>
          <w:p w14:paraId="6DC80709" w14:textId="21E777FD" w:rsidR="002918B1" w:rsidRPr="00933DD9" w:rsidRDefault="00A23C5E" w:rsidP="00741E0F">
            <w:pPr>
              <w:jc w:val="both"/>
              <w:rPr>
                <w:rFonts w:ascii="Arial" w:hAnsi="Arial" w:cs="Arial"/>
                <w:sz w:val="24"/>
                <w:szCs w:val="24"/>
              </w:rPr>
            </w:pPr>
            <w:r>
              <w:rPr>
                <w:rFonts w:ascii="Arial" w:hAnsi="Arial" w:cs="Arial"/>
                <w:sz w:val="24"/>
                <w:szCs w:val="24"/>
              </w:rPr>
              <w:t xml:space="preserve">To record the decision of the </w:t>
            </w:r>
            <w:r w:rsidR="00F7236A">
              <w:rPr>
                <w:rFonts w:ascii="Arial" w:hAnsi="Arial" w:cs="Arial"/>
                <w:sz w:val="24"/>
                <w:szCs w:val="24"/>
              </w:rPr>
              <w:t>PCC</w:t>
            </w:r>
            <w:r>
              <w:rPr>
                <w:rFonts w:ascii="Arial" w:hAnsi="Arial" w:cs="Arial"/>
                <w:sz w:val="24"/>
                <w:szCs w:val="24"/>
              </w:rPr>
              <w:t xml:space="preserve"> </w:t>
            </w:r>
            <w:r w:rsidR="00F7236A">
              <w:rPr>
                <w:rFonts w:ascii="Arial" w:hAnsi="Arial" w:cs="Arial"/>
                <w:sz w:val="24"/>
                <w:szCs w:val="24"/>
              </w:rPr>
              <w:t>to</w:t>
            </w:r>
            <w:r w:rsidR="0029195F">
              <w:rPr>
                <w:rFonts w:ascii="Arial" w:hAnsi="Arial" w:cs="Arial"/>
                <w:sz w:val="24"/>
                <w:szCs w:val="24"/>
              </w:rPr>
              <w:t xml:space="preserve"> award</w:t>
            </w:r>
            <w:r w:rsidR="00F7236A">
              <w:rPr>
                <w:rFonts w:ascii="Arial" w:hAnsi="Arial" w:cs="Arial"/>
                <w:sz w:val="24"/>
                <w:szCs w:val="24"/>
              </w:rPr>
              <w:t xml:space="preserve"> grants from</w:t>
            </w:r>
            <w:r w:rsidR="0029195F">
              <w:rPr>
                <w:rFonts w:ascii="Arial" w:hAnsi="Arial" w:cs="Arial"/>
                <w:sz w:val="24"/>
                <w:szCs w:val="24"/>
              </w:rPr>
              <w:t xml:space="preserve"> the PCC Police Community Fund </w:t>
            </w:r>
            <w:r w:rsidR="00741E0F">
              <w:rPr>
                <w:rFonts w:ascii="Arial" w:hAnsi="Arial" w:cs="Arial"/>
                <w:sz w:val="24"/>
                <w:szCs w:val="24"/>
              </w:rPr>
              <w:t>for the 202</w:t>
            </w:r>
            <w:r w:rsidR="00BF6E2F">
              <w:rPr>
                <w:rFonts w:ascii="Arial" w:hAnsi="Arial" w:cs="Arial"/>
                <w:sz w:val="24"/>
                <w:szCs w:val="24"/>
              </w:rPr>
              <w:t>5</w:t>
            </w:r>
            <w:r w:rsidR="00741E0F">
              <w:rPr>
                <w:rFonts w:ascii="Arial" w:hAnsi="Arial" w:cs="Arial"/>
                <w:sz w:val="24"/>
                <w:szCs w:val="24"/>
              </w:rPr>
              <w:t>/</w:t>
            </w:r>
            <w:r w:rsidR="00AE5242">
              <w:rPr>
                <w:rFonts w:ascii="Arial" w:hAnsi="Arial" w:cs="Arial"/>
                <w:sz w:val="24"/>
                <w:szCs w:val="24"/>
              </w:rPr>
              <w:t>2</w:t>
            </w:r>
            <w:r w:rsidR="00BF6E2F">
              <w:rPr>
                <w:rFonts w:ascii="Arial" w:hAnsi="Arial" w:cs="Arial"/>
                <w:sz w:val="24"/>
                <w:szCs w:val="24"/>
              </w:rPr>
              <w:t>6</w:t>
            </w:r>
            <w:r w:rsidR="00086F5D">
              <w:rPr>
                <w:rFonts w:ascii="Arial" w:hAnsi="Arial" w:cs="Arial"/>
                <w:sz w:val="24"/>
                <w:szCs w:val="24"/>
              </w:rPr>
              <w:t xml:space="preserve"> </w:t>
            </w:r>
            <w:r w:rsidR="00741E0F">
              <w:rPr>
                <w:rFonts w:ascii="Arial" w:hAnsi="Arial" w:cs="Arial"/>
                <w:sz w:val="24"/>
                <w:szCs w:val="24"/>
              </w:rPr>
              <w:t>financial year</w:t>
            </w:r>
            <w:r w:rsidR="0029195F">
              <w:rPr>
                <w:rFonts w:ascii="Arial" w:hAnsi="Arial" w:cs="Arial"/>
                <w:sz w:val="24"/>
                <w:szCs w:val="24"/>
              </w:rPr>
              <w:t>.</w:t>
            </w:r>
          </w:p>
        </w:tc>
      </w:tr>
    </w:tbl>
    <w:p w14:paraId="277096F7" w14:textId="77777777" w:rsidR="00320095" w:rsidRPr="00D8752E" w:rsidRDefault="00320095">
      <w:pPr>
        <w:rPr>
          <w:rFonts w:ascii="Arial" w:hAnsi="Arial" w:cs="Arial"/>
          <w:sz w:val="24"/>
          <w:szCs w:val="24"/>
        </w:rPr>
      </w:pPr>
    </w:p>
    <w:p w14:paraId="255C55A7"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0" w:type="auto"/>
        <w:tblLayout w:type="fixed"/>
        <w:tblLook w:val="04A0" w:firstRow="1" w:lastRow="0" w:firstColumn="1" w:lastColumn="0" w:noHBand="0" w:noVBand="1"/>
      </w:tblPr>
      <w:tblGrid>
        <w:gridCol w:w="534"/>
        <w:gridCol w:w="8708"/>
      </w:tblGrid>
      <w:tr w:rsidR="00D8752E" w:rsidRPr="00933DD9" w14:paraId="6F3BB1A8" w14:textId="77777777" w:rsidTr="00DB41FC">
        <w:tc>
          <w:tcPr>
            <w:tcW w:w="534" w:type="dxa"/>
            <w:tcBorders>
              <w:right w:val="single" w:sz="4" w:space="0" w:color="auto"/>
            </w:tcBorders>
            <w:shd w:val="clear" w:color="auto" w:fill="auto"/>
          </w:tcPr>
          <w:p w14:paraId="624EABED"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708" w:type="dxa"/>
            <w:tcBorders>
              <w:top w:val="single" w:sz="4" w:space="0" w:color="auto"/>
              <w:left w:val="single" w:sz="4" w:space="0" w:color="auto"/>
              <w:bottom w:val="single" w:sz="4" w:space="0" w:color="auto"/>
              <w:right w:val="single" w:sz="4" w:space="0" w:color="auto"/>
            </w:tcBorders>
            <w:shd w:val="clear" w:color="auto" w:fill="auto"/>
          </w:tcPr>
          <w:p w14:paraId="7F268F24" w14:textId="475C10E7" w:rsidR="005C13A6" w:rsidRPr="008A5DD4" w:rsidRDefault="00DB41FC" w:rsidP="008A5DD4">
            <w:pPr>
              <w:pStyle w:val="Default"/>
              <w:spacing w:line="276" w:lineRule="auto"/>
              <w:jc w:val="both"/>
              <w:rPr>
                <w:rFonts w:eastAsia="Calibri"/>
                <w:color w:val="auto"/>
                <w:lang w:eastAsia="en-US"/>
              </w:rPr>
            </w:pPr>
            <w:r w:rsidRPr="008A5DD4">
              <w:rPr>
                <w:rFonts w:eastAsia="Calibri"/>
                <w:color w:val="auto"/>
                <w:lang w:eastAsia="en-US"/>
              </w:rPr>
              <w:t>Previous publication of Decision number PCCG-2018-034 confirmed my</w:t>
            </w:r>
            <w:r w:rsidR="00027E31">
              <w:rPr>
                <w:rFonts w:eastAsia="Calibri"/>
                <w:color w:val="auto"/>
                <w:lang w:eastAsia="en-US"/>
              </w:rPr>
              <w:t xml:space="preserve"> predecessor’s</w:t>
            </w:r>
            <w:r w:rsidRPr="008A5DD4">
              <w:rPr>
                <w:rFonts w:eastAsia="Calibri"/>
                <w:color w:val="auto"/>
                <w:lang w:eastAsia="en-US"/>
              </w:rPr>
              <w:t xml:space="preserve"> intention to establish a recurrent commissioning fund (the </w:t>
            </w:r>
            <w:r w:rsidR="00F7236A" w:rsidRPr="008A5DD4">
              <w:rPr>
                <w:rFonts w:eastAsia="Calibri"/>
                <w:color w:val="auto"/>
                <w:lang w:eastAsia="en-US"/>
              </w:rPr>
              <w:t>PCC</w:t>
            </w:r>
            <w:r w:rsidRPr="008A5DD4">
              <w:rPr>
                <w:rFonts w:eastAsia="Calibri"/>
                <w:color w:val="auto"/>
                <w:lang w:eastAsia="en-US"/>
              </w:rPr>
              <w:t xml:space="preserve"> Police Community Fund</w:t>
            </w:r>
            <w:r w:rsidR="00BF6E2F">
              <w:rPr>
                <w:rFonts w:eastAsia="Calibri"/>
                <w:color w:val="auto"/>
                <w:lang w:eastAsia="en-US"/>
              </w:rPr>
              <w:t xml:space="preserve"> (PCF</w:t>
            </w:r>
            <w:r w:rsidRPr="008A5DD4">
              <w:rPr>
                <w:rFonts w:eastAsia="Calibri"/>
                <w:color w:val="auto"/>
                <w:lang w:eastAsia="en-US"/>
              </w:rPr>
              <w:t>) of up to £300,000</w:t>
            </w:r>
            <w:r w:rsidR="005C13A6" w:rsidRPr="008A5DD4">
              <w:rPr>
                <w:rFonts w:eastAsia="Calibri"/>
                <w:color w:val="auto"/>
                <w:lang w:eastAsia="en-US"/>
              </w:rPr>
              <w:t xml:space="preserve"> annually</w:t>
            </w:r>
            <w:r w:rsidR="00C44D1F">
              <w:rPr>
                <w:rFonts w:eastAsia="Calibri"/>
                <w:color w:val="auto"/>
                <w:lang w:eastAsia="en-US"/>
              </w:rPr>
              <w:t xml:space="preserve">.  </w:t>
            </w:r>
            <w:r w:rsidR="005C13A6" w:rsidRPr="008A5DD4">
              <w:rPr>
                <w:rFonts w:eastAsia="Calibri"/>
                <w:color w:val="auto"/>
                <w:lang w:eastAsia="en-US"/>
              </w:rPr>
              <w:t>This Fund</w:t>
            </w:r>
            <w:r w:rsidR="00C44D1F">
              <w:rPr>
                <w:rFonts w:eastAsia="Calibri"/>
                <w:color w:val="auto"/>
                <w:lang w:eastAsia="en-US"/>
              </w:rPr>
              <w:t xml:space="preserve">, which </w:t>
            </w:r>
            <w:r w:rsidR="00C44D1F" w:rsidRPr="008A5DD4">
              <w:rPr>
                <w:rFonts w:eastAsia="Calibri"/>
                <w:color w:val="auto"/>
                <w:lang w:eastAsia="en-US"/>
              </w:rPr>
              <w:t>use</w:t>
            </w:r>
            <w:r w:rsidR="00C44D1F">
              <w:rPr>
                <w:rFonts w:eastAsia="Calibri"/>
                <w:color w:val="auto"/>
                <w:lang w:eastAsia="en-US"/>
              </w:rPr>
              <w:t>s</w:t>
            </w:r>
            <w:r w:rsidR="00C44D1F" w:rsidRPr="008A5DD4">
              <w:rPr>
                <w:rFonts w:eastAsia="Calibri"/>
                <w:color w:val="auto"/>
                <w:lang w:eastAsia="en-US"/>
              </w:rPr>
              <w:t xml:space="preserve"> monies obtained through the Proceeds of Crime Act</w:t>
            </w:r>
            <w:r w:rsidR="00C44D1F">
              <w:rPr>
                <w:rFonts w:eastAsia="Calibri"/>
                <w:color w:val="auto"/>
                <w:lang w:eastAsia="en-US"/>
              </w:rPr>
              <w:t>,</w:t>
            </w:r>
            <w:r w:rsidR="005C13A6" w:rsidRPr="008A5DD4">
              <w:rPr>
                <w:rFonts w:eastAsia="Calibri"/>
                <w:color w:val="auto"/>
                <w:lang w:eastAsia="en-US"/>
              </w:rPr>
              <w:t xml:space="preserve"> aims to enable children and young people in Gwent to be safe, healthy and happy, building a better future for themselves and their community</w:t>
            </w:r>
            <w:r w:rsidR="005729CD">
              <w:rPr>
                <w:rFonts w:eastAsia="Calibri"/>
                <w:color w:val="auto"/>
                <w:lang w:eastAsia="en-US"/>
              </w:rPr>
              <w:t>,</w:t>
            </w:r>
            <w:r w:rsidR="005C13A6" w:rsidRPr="008A5DD4">
              <w:rPr>
                <w:rFonts w:eastAsia="Calibri"/>
                <w:color w:val="auto"/>
                <w:lang w:eastAsia="en-US"/>
              </w:rPr>
              <w:t xml:space="preserve"> by empowering </w:t>
            </w:r>
            <w:r w:rsidR="00C44D1F">
              <w:rPr>
                <w:rFonts w:eastAsia="Calibri"/>
                <w:color w:val="auto"/>
                <w:lang w:eastAsia="en-US"/>
              </w:rPr>
              <w:t xml:space="preserve">them </w:t>
            </w:r>
            <w:r w:rsidR="005C13A6" w:rsidRPr="008A5DD4">
              <w:rPr>
                <w:rFonts w:eastAsia="Calibri"/>
                <w:color w:val="auto"/>
                <w:lang w:eastAsia="en-US"/>
              </w:rPr>
              <w:t xml:space="preserve">to tackle </w:t>
            </w:r>
            <w:proofErr w:type="gramStart"/>
            <w:r w:rsidR="005C13A6" w:rsidRPr="008A5DD4">
              <w:rPr>
                <w:rFonts w:eastAsia="Calibri"/>
                <w:color w:val="auto"/>
                <w:lang w:eastAsia="en-US"/>
              </w:rPr>
              <w:t>community based</w:t>
            </w:r>
            <w:proofErr w:type="gramEnd"/>
            <w:r w:rsidR="005C13A6" w:rsidRPr="008A5DD4">
              <w:rPr>
                <w:rFonts w:eastAsia="Calibri"/>
                <w:color w:val="auto"/>
                <w:lang w:eastAsia="en-US"/>
              </w:rPr>
              <w:t xml:space="preserve"> issues in a lasting and impactful way. The Fund supports not-for-profit organisations</w:t>
            </w:r>
            <w:r w:rsidR="005729CD">
              <w:rPr>
                <w:rFonts w:eastAsia="Calibri"/>
                <w:color w:val="auto"/>
                <w:lang w:eastAsia="en-US"/>
              </w:rPr>
              <w:t>,</w:t>
            </w:r>
            <w:r w:rsidR="005C13A6" w:rsidRPr="008A5DD4">
              <w:rPr>
                <w:rFonts w:eastAsia="Calibri"/>
                <w:color w:val="auto"/>
                <w:lang w:eastAsia="en-US"/>
              </w:rPr>
              <w:t xml:space="preserve"> seeking to deliver projects and services working with children, young people or vulnerable adults under the age of 25</w:t>
            </w:r>
            <w:r w:rsidR="005729CD">
              <w:rPr>
                <w:rFonts w:eastAsia="Calibri"/>
                <w:color w:val="auto"/>
                <w:lang w:eastAsia="en-US"/>
              </w:rPr>
              <w:t>,</w:t>
            </w:r>
            <w:r w:rsidR="005C13A6" w:rsidRPr="008A5DD4">
              <w:rPr>
                <w:rFonts w:eastAsia="Calibri"/>
                <w:color w:val="auto"/>
                <w:lang w:eastAsia="en-US"/>
              </w:rPr>
              <w:t xml:space="preserve"> who live in the Gwent Police area. The Fund will focus on projects supporting children and young people who</w:t>
            </w:r>
            <w:r w:rsidR="003E2C02" w:rsidRPr="008A5DD4">
              <w:rPr>
                <w:rFonts w:eastAsia="Calibri"/>
                <w:color w:val="auto"/>
                <w:lang w:eastAsia="en-US"/>
              </w:rPr>
              <w:t>:</w:t>
            </w:r>
            <w:r w:rsidR="005C13A6" w:rsidRPr="008A5DD4">
              <w:rPr>
                <w:rFonts w:eastAsia="Calibri"/>
                <w:color w:val="auto"/>
                <w:lang w:eastAsia="en-US"/>
              </w:rPr>
              <w:t xml:space="preserve"> </w:t>
            </w:r>
          </w:p>
          <w:p w14:paraId="054E5570" w14:textId="77777777" w:rsidR="005C13A6" w:rsidRDefault="005C13A6" w:rsidP="008A5DD4">
            <w:pPr>
              <w:pStyle w:val="ListParagraph"/>
              <w:numPr>
                <w:ilvl w:val="0"/>
                <w:numId w:val="8"/>
              </w:numPr>
              <w:spacing w:after="0"/>
              <w:rPr>
                <w:rFonts w:ascii="Arial" w:hAnsi="Arial" w:cs="Arial"/>
                <w:sz w:val="24"/>
                <w:szCs w:val="24"/>
              </w:rPr>
            </w:pPr>
            <w:r>
              <w:rPr>
                <w:rFonts w:ascii="Arial" w:hAnsi="Arial" w:cs="Arial"/>
                <w:sz w:val="24"/>
                <w:szCs w:val="24"/>
              </w:rPr>
              <w:t xml:space="preserve">may be </w:t>
            </w:r>
            <w:r w:rsidRPr="00DD43DD">
              <w:rPr>
                <w:rFonts w:ascii="Arial" w:hAnsi="Arial" w:cs="Arial"/>
                <w:sz w:val="24"/>
                <w:szCs w:val="24"/>
              </w:rPr>
              <w:t>in danger of entering</w:t>
            </w:r>
            <w:r>
              <w:rPr>
                <w:rFonts w:ascii="Arial" w:hAnsi="Arial" w:cs="Arial"/>
                <w:sz w:val="24"/>
                <w:szCs w:val="24"/>
              </w:rPr>
              <w:t xml:space="preserve"> the criminal justice system</w:t>
            </w:r>
            <w:r w:rsidR="003E2C02">
              <w:rPr>
                <w:rFonts w:ascii="Arial" w:hAnsi="Arial" w:cs="Arial"/>
                <w:sz w:val="24"/>
                <w:szCs w:val="24"/>
              </w:rPr>
              <w:t>;</w:t>
            </w:r>
            <w:r>
              <w:rPr>
                <w:rFonts w:ascii="Arial" w:hAnsi="Arial" w:cs="Arial"/>
                <w:sz w:val="24"/>
                <w:szCs w:val="24"/>
              </w:rPr>
              <w:t xml:space="preserve"> or</w:t>
            </w:r>
          </w:p>
          <w:p w14:paraId="293058D2" w14:textId="77777777" w:rsidR="00D8752E" w:rsidRDefault="005C13A6" w:rsidP="008A5DD4">
            <w:pPr>
              <w:pStyle w:val="ListParagraph"/>
              <w:numPr>
                <w:ilvl w:val="0"/>
                <w:numId w:val="8"/>
              </w:numPr>
              <w:spacing w:after="0"/>
              <w:rPr>
                <w:rFonts w:ascii="Arial" w:hAnsi="Arial" w:cs="Arial"/>
                <w:sz w:val="24"/>
                <w:szCs w:val="24"/>
              </w:rPr>
            </w:pPr>
            <w:r>
              <w:rPr>
                <w:rFonts w:ascii="Arial" w:hAnsi="Arial" w:cs="Arial"/>
                <w:sz w:val="24"/>
                <w:szCs w:val="24"/>
              </w:rPr>
              <w:t>h</w:t>
            </w:r>
            <w:r w:rsidRPr="00DD43DD">
              <w:rPr>
                <w:rFonts w:ascii="Arial" w:hAnsi="Arial" w:cs="Arial"/>
                <w:sz w:val="24"/>
                <w:szCs w:val="24"/>
              </w:rPr>
              <w:t>ave become victims of crime</w:t>
            </w:r>
            <w:r>
              <w:rPr>
                <w:rFonts w:ascii="Arial" w:hAnsi="Arial" w:cs="Arial"/>
                <w:sz w:val="24"/>
                <w:szCs w:val="24"/>
              </w:rPr>
              <w:t>.</w:t>
            </w:r>
          </w:p>
          <w:p w14:paraId="3ECC2D6E" w14:textId="77777777" w:rsidR="008A5DD4" w:rsidRDefault="008A5DD4" w:rsidP="008A5DD4">
            <w:pPr>
              <w:pStyle w:val="ListParagraph"/>
              <w:spacing w:after="0"/>
              <w:ind w:left="360"/>
              <w:rPr>
                <w:rFonts w:ascii="Arial" w:hAnsi="Arial" w:cs="Arial"/>
                <w:sz w:val="24"/>
                <w:szCs w:val="24"/>
              </w:rPr>
            </w:pPr>
          </w:p>
          <w:p w14:paraId="39F7B731" w14:textId="0BE78ED7" w:rsidR="00711B93" w:rsidRPr="008A5DD4" w:rsidRDefault="00711B93" w:rsidP="008A5DD4">
            <w:pPr>
              <w:pStyle w:val="Default"/>
              <w:spacing w:line="276" w:lineRule="auto"/>
              <w:jc w:val="both"/>
              <w:rPr>
                <w:rFonts w:eastAsia="Calibri"/>
                <w:color w:val="auto"/>
                <w:lang w:eastAsia="en-US"/>
              </w:rPr>
            </w:pPr>
            <w:r>
              <w:rPr>
                <w:rFonts w:eastAsia="Calibri"/>
                <w:color w:val="auto"/>
                <w:lang w:eastAsia="en-US"/>
              </w:rPr>
              <w:t>Eligible organisations and groups can make applications for funding throughout the year.  Applications must have the support of their local Neighbourhood Policing Team. Submitted applications are assessed on a quarterly basis by a Panel consisting of representatives from the Office of the Police and Crime Commissioner</w:t>
            </w:r>
            <w:r w:rsidR="00BF6E2F">
              <w:rPr>
                <w:rFonts w:eastAsia="Calibri"/>
                <w:color w:val="auto"/>
                <w:lang w:eastAsia="en-US"/>
              </w:rPr>
              <w:t xml:space="preserve"> (OPCC)</w:t>
            </w:r>
            <w:r>
              <w:rPr>
                <w:rFonts w:eastAsia="Calibri"/>
                <w:color w:val="auto"/>
                <w:lang w:eastAsia="en-US"/>
              </w:rPr>
              <w:t>, Gwent Police and the Council for Wales Vol</w:t>
            </w:r>
            <w:r w:rsidR="008A5DD4">
              <w:rPr>
                <w:rFonts w:eastAsia="Calibri"/>
                <w:color w:val="auto"/>
                <w:lang w:eastAsia="en-US"/>
              </w:rPr>
              <w:t xml:space="preserve">untary Youth Service (CWVYS).  </w:t>
            </w:r>
          </w:p>
        </w:tc>
      </w:tr>
      <w:tr w:rsidR="00D8752E" w:rsidRPr="00933DD9" w14:paraId="1BEB0BD8" w14:textId="77777777" w:rsidTr="00DB41FC">
        <w:tc>
          <w:tcPr>
            <w:tcW w:w="534" w:type="dxa"/>
            <w:tcBorders>
              <w:right w:val="single" w:sz="4" w:space="0" w:color="auto"/>
            </w:tcBorders>
            <w:shd w:val="clear" w:color="auto" w:fill="auto"/>
          </w:tcPr>
          <w:p w14:paraId="601B7895" w14:textId="77777777" w:rsidR="00D8752E" w:rsidRPr="00933DD9" w:rsidRDefault="00711B93" w:rsidP="00D8752E">
            <w:pPr>
              <w:rPr>
                <w:rFonts w:ascii="Arial" w:hAnsi="Arial" w:cs="Arial"/>
                <w:sz w:val="24"/>
                <w:szCs w:val="24"/>
              </w:rPr>
            </w:pPr>
            <w:r>
              <w:rPr>
                <w:rFonts w:ascii="Arial" w:hAnsi="Arial" w:cs="Arial"/>
                <w:sz w:val="24"/>
                <w:szCs w:val="24"/>
              </w:rPr>
              <w:t>2</w:t>
            </w:r>
            <w:r w:rsidR="009D678F" w:rsidRPr="00933DD9">
              <w:rPr>
                <w:rFonts w:ascii="Arial" w:hAnsi="Arial" w:cs="Arial"/>
                <w:sz w:val="24"/>
                <w:szCs w:val="24"/>
              </w:rPr>
              <w:t>.</w:t>
            </w:r>
          </w:p>
        </w:tc>
        <w:tc>
          <w:tcPr>
            <w:tcW w:w="8708" w:type="dxa"/>
            <w:tcBorders>
              <w:top w:val="single" w:sz="4" w:space="0" w:color="auto"/>
              <w:left w:val="single" w:sz="4" w:space="0" w:color="auto"/>
              <w:bottom w:val="single" w:sz="4" w:space="0" w:color="auto"/>
              <w:right w:val="single" w:sz="4" w:space="0" w:color="auto"/>
            </w:tcBorders>
            <w:shd w:val="clear" w:color="auto" w:fill="auto"/>
          </w:tcPr>
          <w:p w14:paraId="63610433" w14:textId="10A10652" w:rsidR="00555C9B" w:rsidRPr="00542CB1" w:rsidRDefault="00BF6E2F" w:rsidP="008A5DD4">
            <w:pPr>
              <w:pStyle w:val="Default"/>
              <w:spacing w:line="276" w:lineRule="auto"/>
              <w:jc w:val="both"/>
            </w:pPr>
            <w:r>
              <w:t xml:space="preserve">Due to the PCC Elections in May 2024 and the subsequent development of the Police, Crime and Justice Plan </w:t>
            </w:r>
            <w:r w:rsidR="00C44D1F">
              <w:t xml:space="preserve">2025 – 2029 </w:t>
            </w:r>
            <w:r>
              <w:t xml:space="preserve">which is due for launch late March 2025; no PCF application round was held for </w:t>
            </w:r>
            <w:r w:rsidRPr="00BE36E2">
              <w:rPr>
                <w:u w:val="single"/>
              </w:rPr>
              <w:t>new</w:t>
            </w:r>
            <w:r>
              <w:t xml:space="preserve"> applications for the 2025/26 financial year.  </w:t>
            </w:r>
            <w:r w:rsidR="00027E31">
              <w:t xml:space="preserve">It </w:t>
            </w:r>
            <w:r>
              <w:t xml:space="preserve">was </w:t>
            </w:r>
            <w:r w:rsidR="00027E31">
              <w:t xml:space="preserve">instead </w:t>
            </w:r>
            <w:r>
              <w:t>agreed that any additional application</w:t>
            </w:r>
            <w:r w:rsidR="00C44D1F">
              <w:t>s’</w:t>
            </w:r>
            <w:r>
              <w:t xml:space="preserve"> </w:t>
            </w:r>
            <w:r w:rsidR="00027E31">
              <w:t>phase</w:t>
            </w:r>
            <w:r>
              <w:t xml:space="preserve"> would be </w:t>
            </w:r>
            <w:r w:rsidR="002F72F4">
              <w:t>put on hold</w:t>
            </w:r>
            <w:r>
              <w:t xml:space="preserve"> to allow for a review</w:t>
            </w:r>
            <w:r w:rsidR="00027E31">
              <w:t xml:space="preserve"> to be undertaken</w:t>
            </w:r>
            <w:r>
              <w:t xml:space="preserve"> of the</w:t>
            </w:r>
            <w:r w:rsidR="002F72F4">
              <w:t xml:space="preserve"> various</w:t>
            </w:r>
            <w:r>
              <w:t xml:space="preserve"> OPCC </w:t>
            </w:r>
            <w:r w:rsidR="002F72F4">
              <w:t>f</w:t>
            </w:r>
            <w:r>
              <w:t xml:space="preserve">unding streams </w:t>
            </w:r>
            <w:proofErr w:type="gramStart"/>
            <w:r w:rsidR="00027E31">
              <w:t>in light of</w:t>
            </w:r>
            <w:proofErr w:type="gramEnd"/>
            <w:r w:rsidR="00027E31">
              <w:t xml:space="preserve"> the new </w:t>
            </w:r>
            <w:r w:rsidR="00C44D1F">
              <w:t>P</w:t>
            </w:r>
            <w:r w:rsidR="00027E31">
              <w:t>lan.  I have however</w:t>
            </w:r>
            <w:r w:rsidR="00310236">
              <w:t>,</w:t>
            </w:r>
            <w:r w:rsidR="00027E31">
              <w:t xml:space="preserve"> agreed to honour </w:t>
            </w:r>
            <w:r>
              <w:t xml:space="preserve">previous </w:t>
            </w:r>
            <w:r w:rsidR="00027E31">
              <w:t>ring</w:t>
            </w:r>
            <w:r w:rsidR="00310236">
              <w:t>-</w:t>
            </w:r>
            <w:r w:rsidR="00027E31">
              <w:t xml:space="preserve">fenced </w:t>
            </w:r>
            <w:r w:rsidR="00310236">
              <w:t xml:space="preserve">multi-year </w:t>
            </w:r>
            <w:r w:rsidR="00027E31">
              <w:t>awards to past successful applicants</w:t>
            </w:r>
            <w:r w:rsidR="00310236">
              <w:t>,</w:t>
            </w:r>
            <w:r w:rsidR="00027E31">
              <w:t xml:space="preserve"> who are</w:t>
            </w:r>
            <w:r w:rsidR="00310236">
              <w:t xml:space="preserve"> to receive</w:t>
            </w:r>
            <w:r w:rsidR="00027E31">
              <w:t xml:space="preserve"> their final year of funding</w:t>
            </w:r>
            <w:r w:rsidR="00310236">
              <w:t>, from their legacy applications</w:t>
            </w:r>
            <w:r w:rsidR="002F72F4">
              <w:t xml:space="preserve">.   </w:t>
            </w:r>
          </w:p>
        </w:tc>
      </w:tr>
      <w:tr w:rsidR="00D8752E" w:rsidRPr="00933DD9" w14:paraId="0A83FF41" w14:textId="77777777" w:rsidTr="00DB41FC">
        <w:tc>
          <w:tcPr>
            <w:tcW w:w="534" w:type="dxa"/>
            <w:tcBorders>
              <w:right w:val="single" w:sz="4" w:space="0" w:color="auto"/>
            </w:tcBorders>
            <w:shd w:val="clear" w:color="auto" w:fill="auto"/>
          </w:tcPr>
          <w:p w14:paraId="233225DA" w14:textId="77777777" w:rsidR="00D8752E" w:rsidRPr="00933DD9" w:rsidRDefault="008A5DD4" w:rsidP="00D8752E">
            <w:pPr>
              <w:rPr>
                <w:rFonts w:ascii="Arial" w:hAnsi="Arial" w:cs="Arial"/>
                <w:sz w:val="24"/>
                <w:szCs w:val="24"/>
              </w:rPr>
            </w:pPr>
            <w:r>
              <w:rPr>
                <w:rFonts w:ascii="Arial" w:hAnsi="Arial" w:cs="Arial"/>
                <w:sz w:val="24"/>
                <w:szCs w:val="24"/>
              </w:rPr>
              <w:lastRenderedPageBreak/>
              <w:t>3</w:t>
            </w:r>
            <w:r w:rsidR="00F22A16">
              <w:rPr>
                <w:rFonts w:ascii="Arial" w:hAnsi="Arial" w:cs="Arial"/>
                <w:sz w:val="24"/>
                <w:szCs w:val="24"/>
              </w:rPr>
              <w:t>.</w:t>
            </w:r>
          </w:p>
        </w:tc>
        <w:tc>
          <w:tcPr>
            <w:tcW w:w="8708" w:type="dxa"/>
            <w:tcBorders>
              <w:top w:val="single" w:sz="4" w:space="0" w:color="auto"/>
              <w:left w:val="single" w:sz="4" w:space="0" w:color="auto"/>
              <w:bottom w:val="single" w:sz="4" w:space="0" w:color="auto"/>
              <w:right w:val="single" w:sz="4" w:space="0" w:color="auto"/>
            </w:tcBorders>
            <w:shd w:val="clear" w:color="auto" w:fill="auto"/>
          </w:tcPr>
          <w:p w14:paraId="55E2E181" w14:textId="456D3A03" w:rsidR="004D12E8" w:rsidRDefault="002F72F4" w:rsidP="008A5DD4">
            <w:pPr>
              <w:pStyle w:val="Default"/>
              <w:spacing w:line="276" w:lineRule="auto"/>
              <w:jc w:val="both"/>
              <w:rPr>
                <w:szCs w:val="20"/>
              </w:rPr>
            </w:pPr>
            <w:r>
              <w:rPr>
                <w:szCs w:val="20"/>
              </w:rPr>
              <w:t xml:space="preserve">In light of the above, the projects that will receive their final year funding out of the PCF are detailed below.  This will equate to a total of </w:t>
            </w:r>
            <w:r w:rsidRPr="002F72F4">
              <w:rPr>
                <w:b/>
                <w:bCs/>
                <w:szCs w:val="20"/>
              </w:rPr>
              <w:t>£182,428.01</w:t>
            </w:r>
            <w:r>
              <w:rPr>
                <w:szCs w:val="20"/>
              </w:rPr>
              <w:t xml:space="preserve"> for the 2025/26 financial year.</w:t>
            </w:r>
            <w:r w:rsidR="00027E31">
              <w:rPr>
                <w:szCs w:val="20"/>
              </w:rPr>
              <w:t xml:space="preserve">  </w:t>
            </w:r>
          </w:p>
          <w:p w14:paraId="7BF1EC60" w14:textId="77777777" w:rsidR="008E0DBA" w:rsidRDefault="008E0DBA" w:rsidP="008A5DD4">
            <w:pPr>
              <w:pStyle w:val="Default"/>
              <w:spacing w:line="276" w:lineRule="auto"/>
              <w:jc w:val="both"/>
              <w:rPr>
                <w:szCs w:val="20"/>
              </w:rPr>
            </w:pPr>
          </w:p>
          <w:p w14:paraId="0B0608E7" w14:textId="60983274" w:rsidR="008E0DBA" w:rsidRPr="001647A5" w:rsidRDefault="00555C9B" w:rsidP="008A5DD4">
            <w:pPr>
              <w:pStyle w:val="Default"/>
              <w:spacing w:line="276" w:lineRule="auto"/>
              <w:jc w:val="both"/>
              <w:rPr>
                <w:b/>
                <w:szCs w:val="20"/>
              </w:rPr>
            </w:pPr>
            <w:r>
              <w:rPr>
                <w:b/>
                <w:szCs w:val="20"/>
              </w:rPr>
              <w:t>202</w:t>
            </w:r>
            <w:r w:rsidR="002F72F4">
              <w:rPr>
                <w:b/>
                <w:szCs w:val="20"/>
              </w:rPr>
              <w:t>5</w:t>
            </w:r>
            <w:r w:rsidR="00AE5242">
              <w:rPr>
                <w:b/>
                <w:szCs w:val="20"/>
              </w:rPr>
              <w:t>/2</w:t>
            </w:r>
            <w:r w:rsidR="002F72F4">
              <w:rPr>
                <w:b/>
                <w:szCs w:val="20"/>
              </w:rPr>
              <w:t>6</w:t>
            </w:r>
            <w:r w:rsidR="001647A5" w:rsidRPr="001647A5">
              <w:rPr>
                <w:b/>
                <w:szCs w:val="20"/>
              </w:rPr>
              <w:t xml:space="preserve"> Grant Awards </w:t>
            </w:r>
            <w:r w:rsidR="00F7236A">
              <w:rPr>
                <w:b/>
                <w:szCs w:val="20"/>
              </w:rPr>
              <w:t>(</w:t>
            </w:r>
            <w:r>
              <w:rPr>
                <w:b/>
                <w:szCs w:val="20"/>
              </w:rPr>
              <w:t>April 202</w:t>
            </w:r>
            <w:r w:rsidR="002F72F4">
              <w:rPr>
                <w:b/>
                <w:szCs w:val="20"/>
              </w:rPr>
              <w:t>5</w:t>
            </w:r>
            <w:r>
              <w:rPr>
                <w:b/>
                <w:szCs w:val="20"/>
              </w:rPr>
              <w:t xml:space="preserve"> – March 202</w:t>
            </w:r>
            <w:r w:rsidR="002F72F4">
              <w:rPr>
                <w:b/>
                <w:szCs w:val="20"/>
              </w:rPr>
              <w:t>6</w:t>
            </w:r>
            <w:r w:rsidR="00F7236A">
              <w:rPr>
                <w:b/>
                <w:szCs w:val="20"/>
              </w:rPr>
              <w:t>)</w:t>
            </w:r>
            <w:r w:rsidR="001647A5" w:rsidRPr="001647A5">
              <w:rPr>
                <w:b/>
                <w:szCs w:val="20"/>
              </w:rPr>
              <w:t>:</w:t>
            </w:r>
          </w:p>
          <w:p w14:paraId="01903A4C" w14:textId="77777777" w:rsidR="001647A5" w:rsidRDefault="001647A5" w:rsidP="008A5DD4">
            <w:pPr>
              <w:pStyle w:val="Default"/>
              <w:spacing w:line="276" w:lineRule="auto"/>
              <w:jc w:val="both"/>
              <w:rPr>
                <w:szCs w:val="20"/>
              </w:rPr>
            </w:pPr>
          </w:p>
          <w:p w14:paraId="65B0F01A" w14:textId="6EBE3EAF" w:rsidR="00A25FB4" w:rsidRDefault="000617E5" w:rsidP="008A5DD4">
            <w:pPr>
              <w:pStyle w:val="Default"/>
              <w:spacing w:line="276" w:lineRule="auto"/>
              <w:jc w:val="both"/>
              <w:rPr>
                <w:szCs w:val="20"/>
              </w:rPr>
            </w:pPr>
            <w:proofErr w:type="spellStart"/>
            <w:r>
              <w:rPr>
                <w:b/>
                <w:szCs w:val="20"/>
              </w:rPr>
              <w:t>Senghenydd</w:t>
            </w:r>
            <w:proofErr w:type="spellEnd"/>
            <w:r>
              <w:rPr>
                <w:b/>
                <w:szCs w:val="20"/>
              </w:rPr>
              <w:t xml:space="preserve"> Youth Drop in Centre</w:t>
            </w:r>
            <w:r w:rsidR="00E80733">
              <w:rPr>
                <w:szCs w:val="20"/>
              </w:rPr>
              <w:t xml:space="preserve"> </w:t>
            </w:r>
            <w:r w:rsidR="00885510">
              <w:rPr>
                <w:szCs w:val="20"/>
              </w:rPr>
              <w:t>(</w:t>
            </w:r>
            <w:r>
              <w:rPr>
                <w:szCs w:val="20"/>
              </w:rPr>
              <w:t>Caerphilly</w:t>
            </w:r>
            <w:r w:rsidR="00885510">
              <w:rPr>
                <w:szCs w:val="20"/>
              </w:rPr>
              <w:t xml:space="preserve">) </w:t>
            </w:r>
            <w:r w:rsidR="00E80733">
              <w:rPr>
                <w:szCs w:val="20"/>
              </w:rPr>
              <w:t xml:space="preserve">- </w:t>
            </w:r>
            <w:r w:rsidR="00E80733" w:rsidRPr="00E80733">
              <w:rPr>
                <w:szCs w:val="20"/>
                <w:u w:val="single"/>
              </w:rPr>
              <w:t>£</w:t>
            </w:r>
            <w:r>
              <w:rPr>
                <w:szCs w:val="20"/>
                <w:u w:val="single"/>
              </w:rPr>
              <w:t>39,929.76</w:t>
            </w:r>
            <w:r w:rsidR="00E80733">
              <w:rPr>
                <w:szCs w:val="20"/>
              </w:rPr>
              <w:t xml:space="preserve"> towards </w:t>
            </w:r>
            <w:r>
              <w:rPr>
                <w:szCs w:val="20"/>
              </w:rPr>
              <w:t>the Drop in Centre, where youth and community workers will offer outreach and youth centre based activities.  Youth Workers will also work with NEETs</w:t>
            </w:r>
            <w:r w:rsidR="0030259C">
              <w:rPr>
                <w:szCs w:val="20"/>
              </w:rPr>
              <w:t xml:space="preserve"> (young people not in education, employment or training),</w:t>
            </w:r>
            <w:r>
              <w:rPr>
                <w:szCs w:val="20"/>
              </w:rPr>
              <w:t xml:space="preserve"> during daytime hours and provide evening sessions to children and young people on subjects such as substance misuse and online safety</w:t>
            </w:r>
            <w:r w:rsidR="00310236">
              <w:rPr>
                <w:szCs w:val="20"/>
              </w:rPr>
              <w:t>;</w:t>
            </w:r>
            <w:r>
              <w:rPr>
                <w:szCs w:val="20"/>
              </w:rPr>
              <w:t xml:space="preserve"> as well as raise awareness on issues such as grooming, trafficking, modern slavery and risk</w:t>
            </w:r>
            <w:r w:rsidR="00310236">
              <w:rPr>
                <w:szCs w:val="20"/>
              </w:rPr>
              <w:t>-</w:t>
            </w:r>
            <w:r>
              <w:rPr>
                <w:szCs w:val="20"/>
              </w:rPr>
              <w:t>taking behaviour.</w:t>
            </w:r>
          </w:p>
          <w:p w14:paraId="4FF8083C" w14:textId="77777777" w:rsidR="005729CD" w:rsidRDefault="005729CD" w:rsidP="008A5DD4">
            <w:pPr>
              <w:pStyle w:val="Default"/>
              <w:spacing w:line="276" w:lineRule="auto"/>
              <w:jc w:val="both"/>
              <w:rPr>
                <w:szCs w:val="20"/>
              </w:rPr>
            </w:pPr>
          </w:p>
          <w:p w14:paraId="57BE9B69" w14:textId="77777777" w:rsidR="00BA56B5" w:rsidRDefault="00BA56B5" w:rsidP="008A5DD4">
            <w:pPr>
              <w:pStyle w:val="Default"/>
              <w:spacing w:line="276" w:lineRule="auto"/>
              <w:jc w:val="both"/>
              <w:rPr>
                <w:szCs w:val="20"/>
              </w:rPr>
            </w:pPr>
          </w:p>
          <w:p w14:paraId="48C77C54" w14:textId="240187DC" w:rsidR="002F72F4" w:rsidRDefault="002F72F4" w:rsidP="002F72F4">
            <w:pPr>
              <w:pStyle w:val="Default"/>
              <w:spacing w:line="276" w:lineRule="auto"/>
              <w:jc w:val="both"/>
              <w:rPr>
                <w:szCs w:val="20"/>
              </w:rPr>
            </w:pPr>
            <w:r>
              <w:rPr>
                <w:b/>
                <w:szCs w:val="20"/>
              </w:rPr>
              <w:t>Cwmbran Centre for Young People</w:t>
            </w:r>
            <w:r>
              <w:rPr>
                <w:szCs w:val="20"/>
              </w:rPr>
              <w:t xml:space="preserve"> (Torfaen)</w:t>
            </w:r>
            <w:r w:rsidR="00310236">
              <w:rPr>
                <w:szCs w:val="20"/>
              </w:rPr>
              <w:t xml:space="preserve"> </w:t>
            </w:r>
            <w:r>
              <w:rPr>
                <w:szCs w:val="20"/>
              </w:rPr>
              <w:t xml:space="preserve">- </w:t>
            </w:r>
            <w:r w:rsidRPr="001647A5">
              <w:rPr>
                <w:szCs w:val="20"/>
                <w:u w:val="single"/>
              </w:rPr>
              <w:t>£</w:t>
            </w:r>
            <w:r>
              <w:rPr>
                <w:szCs w:val="20"/>
                <w:u w:val="single"/>
              </w:rPr>
              <w:t>42,631.48</w:t>
            </w:r>
            <w:r>
              <w:rPr>
                <w:szCs w:val="20"/>
              </w:rPr>
              <w:t xml:space="preserve"> towards the Open Access Drop in Project.</w:t>
            </w:r>
            <w:r w:rsidRPr="00CC16B0">
              <w:rPr>
                <w:rFonts w:eastAsia="Calibri"/>
                <w:color w:val="1F497D"/>
              </w:rPr>
              <w:t xml:space="preserve"> </w:t>
            </w:r>
            <w:r>
              <w:t xml:space="preserve">This will include provision of a drop in facility five nights a week within a safe environment, that provides tailor made services, activities and support, with counsellors and mentors available to young people attending.  The provision is also being extended into outreach work in other Torfaen areas that have been highlighted by both Gwent Police and the Local Authority as having issues with Anti-Social Behaviour.  The aim of which will be to target young people in those areas to encourage them to also access the various services provided. </w:t>
            </w:r>
          </w:p>
          <w:p w14:paraId="27F98A25" w14:textId="77777777" w:rsidR="002F72F4" w:rsidRDefault="002F72F4" w:rsidP="002F72F4">
            <w:pPr>
              <w:pStyle w:val="Default"/>
              <w:spacing w:line="276" w:lineRule="auto"/>
              <w:jc w:val="both"/>
              <w:rPr>
                <w:szCs w:val="20"/>
              </w:rPr>
            </w:pPr>
          </w:p>
          <w:p w14:paraId="2B3568F0" w14:textId="59A6B04E" w:rsidR="002F72F4" w:rsidRDefault="002F72F4" w:rsidP="002F72F4">
            <w:pPr>
              <w:pStyle w:val="Default"/>
              <w:spacing w:line="276" w:lineRule="auto"/>
              <w:jc w:val="both"/>
              <w:rPr>
                <w:szCs w:val="20"/>
              </w:rPr>
            </w:pPr>
            <w:r>
              <w:rPr>
                <w:b/>
                <w:szCs w:val="20"/>
              </w:rPr>
              <w:t>Ethnic Minorities and Youth Support Team (EYST Wales)</w:t>
            </w:r>
            <w:r>
              <w:rPr>
                <w:szCs w:val="20"/>
              </w:rPr>
              <w:t xml:space="preserve"> (Newport) - </w:t>
            </w:r>
            <w:r w:rsidRPr="00E80733">
              <w:rPr>
                <w:szCs w:val="20"/>
                <w:u w:val="single"/>
              </w:rPr>
              <w:t>£</w:t>
            </w:r>
            <w:r>
              <w:rPr>
                <w:szCs w:val="20"/>
                <w:u w:val="single"/>
              </w:rPr>
              <w:t>49,980.77</w:t>
            </w:r>
            <w:r>
              <w:rPr>
                <w:szCs w:val="20"/>
              </w:rPr>
              <w:t xml:space="preserve"> towards the Urban Safe Project Newport which will </w:t>
            </w:r>
            <w:r>
              <w:t>provide support to ethnic minority young people in Newport aged eleven to twenty five.  The project will provide safe culturally accessible spaces for them to access trusted workers to speak to</w:t>
            </w:r>
            <w:r w:rsidR="00310236">
              <w:t>,</w:t>
            </w:r>
            <w:r>
              <w:t xml:space="preserve"> and positive activities to take part in.  The project will offer weekly </w:t>
            </w:r>
            <w:proofErr w:type="gramStart"/>
            <w:r>
              <w:t>drop in</w:t>
            </w:r>
            <w:proofErr w:type="gramEnd"/>
            <w:r>
              <w:t xml:space="preserve"> youth sessions, regular one to one mentoring, information workshops, trips and activities.  The project will also work with the local Neighbourhood Policing Team in order to assist in developing relationships. </w:t>
            </w:r>
          </w:p>
          <w:p w14:paraId="3B077B35" w14:textId="77777777" w:rsidR="002F72F4" w:rsidRDefault="002F72F4" w:rsidP="002F72F4">
            <w:pPr>
              <w:pStyle w:val="Default"/>
              <w:spacing w:line="276" w:lineRule="auto"/>
              <w:jc w:val="both"/>
              <w:rPr>
                <w:szCs w:val="20"/>
              </w:rPr>
            </w:pPr>
          </w:p>
          <w:p w14:paraId="290E66B0" w14:textId="40AB180A" w:rsidR="002F72F4" w:rsidRDefault="002F72F4" w:rsidP="002F72F4">
            <w:pPr>
              <w:pStyle w:val="Default"/>
              <w:spacing w:line="276" w:lineRule="auto"/>
              <w:jc w:val="both"/>
              <w:rPr>
                <w:szCs w:val="20"/>
              </w:rPr>
            </w:pPr>
            <w:r>
              <w:rPr>
                <w:b/>
                <w:szCs w:val="20"/>
              </w:rPr>
              <w:t xml:space="preserve">Community House </w:t>
            </w:r>
            <w:r>
              <w:rPr>
                <w:szCs w:val="20"/>
              </w:rPr>
              <w:t xml:space="preserve">(Newport) - </w:t>
            </w:r>
            <w:r w:rsidRPr="00A25FB4">
              <w:rPr>
                <w:szCs w:val="20"/>
                <w:u w:val="single"/>
              </w:rPr>
              <w:t>£</w:t>
            </w:r>
            <w:r>
              <w:rPr>
                <w:szCs w:val="20"/>
                <w:u w:val="single"/>
              </w:rPr>
              <w:t>49,886</w:t>
            </w:r>
            <w:r>
              <w:rPr>
                <w:szCs w:val="20"/>
              </w:rPr>
              <w:t xml:space="preserve"> to deliver the Unity in the Community Project </w:t>
            </w:r>
            <w:r>
              <w:t xml:space="preserve">which provides youth work sessions to young people aged between six to twenty five.  The project includes awareness raising, educational trips, workshops and </w:t>
            </w:r>
            <w:proofErr w:type="gramStart"/>
            <w:r>
              <w:t>centre based</w:t>
            </w:r>
            <w:proofErr w:type="gramEnd"/>
            <w:r>
              <w:t xml:space="preserve"> activities for young people. The project offers support to both young people and their families on a variety of issues including abusive behaviours, knife crime etc.; whilst also offering positive opportunities such as youth leadership opportunities</w:t>
            </w:r>
            <w:r w:rsidR="00310236">
              <w:t>,</w:t>
            </w:r>
            <w:r>
              <w:t xml:space="preserve"> to empower young people to be role models and improve their aspirations. </w:t>
            </w:r>
          </w:p>
          <w:p w14:paraId="7170AC04" w14:textId="72DDB3CC" w:rsidR="00A04872" w:rsidRPr="008A5DD4" w:rsidRDefault="00A04872" w:rsidP="008A5DD4">
            <w:pPr>
              <w:pStyle w:val="Default"/>
              <w:spacing w:line="276" w:lineRule="auto"/>
              <w:jc w:val="both"/>
            </w:pPr>
          </w:p>
        </w:tc>
      </w:tr>
      <w:tr w:rsidR="00F7236A" w:rsidRPr="00933DD9" w14:paraId="27167876" w14:textId="77777777" w:rsidTr="00342A63">
        <w:tc>
          <w:tcPr>
            <w:tcW w:w="534" w:type="dxa"/>
            <w:tcBorders>
              <w:right w:val="single" w:sz="4" w:space="0" w:color="auto"/>
            </w:tcBorders>
            <w:shd w:val="clear" w:color="auto" w:fill="auto"/>
          </w:tcPr>
          <w:p w14:paraId="04E42660" w14:textId="77777777" w:rsidR="00F7236A" w:rsidRDefault="008A5DD4" w:rsidP="00F7236A">
            <w:pPr>
              <w:rPr>
                <w:rFonts w:ascii="Arial" w:hAnsi="Arial" w:cs="Arial"/>
                <w:sz w:val="24"/>
                <w:szCs w:val="24"/>
              </w:rPr>
            </w:pPr>
            <w:r>
              <w:rPr>
                <w:rFonts w:ascii="Arial" w:hAnsi="Arial" w:cs="Arial"/>
                <w:sz w:val="24"/>
                <w:szCs w:val="24"/>
              </w:rPr>
              <w:lastRenderedPageBreak/>
              <w:t>4</w:t>
            </w:r>
            <w:r w:rsidR="00F7236A">
              <w:rPr>
                <w:rFonts w:ascii="Arial" w:hAnsi="Arial" w:cs="Arial"/>
                <w:sz w:val="24"/>
                <w:szCs w:val="24"/>
              </w:rPr>
              <w:t>.</w:t>
            </w:r>
          </w:p>
          <w:p w14:paraId="3FA0E879" w14:textId="77777777" w:rsidR="00F7236A" w:rsidRPr="00933DD9" w:rsidRDefault="00F7236A" w:rsidP="00F7236A">
            <w:pPr>
              <w:rPr>
                <w:rFonts w:ascii="Arial" w:hAnsi="Arial" w:cs="Arial"/>
                <w:sz w:val="24"/>
                <w:szCs w:val="24"/>
              </w:rPr>
            </w:pPr>
          </w:p>
        </w:tc>
        <w:tc>
          <w:tcPr>
            <w:tcW w:w="8708" w:type="dxa"/>
            <w:tcBorders>
              <w:top w:val="single" w:sz="4" w:space="0" w:color="auto"/>
              <w:left w:val="single" w:sz="4" w:space="0" w:color="auto"/>
              <w:bottom w:val="single" w:sz="4" w:space="0" w:color="auto"/>
              <w:right w:val="single" w:sz="4" w:space="0" w:color="auto"/>
            </w:tcBorders>
            <w:shd w:val="clear" w:color="auto" w:fill="auto"/>
          </w:tcPr>
          <w:p w14:paraId="1B033B42" w14:textId="77777777" w:rsidR="00F7236A" w:rsidRPr="001D04C7" w:rsidRDefault="00F7236A" w:rsidP="00F7236A">
            <w:pPr>
              <w:rPr>
                <w:rFonts w:ascii="Arial" w:hAnsi="Arial" w:cs="Arial"/>
                <w:sz w:val="24"/>
                <w:szCs w:val="24"/>
              </w:rPr>
            </w:pPr>
            <w:r w:rsidRPr="001D04C7">
              <w:rPr>
                <w:rFonts w:ascii="Arial" w:hAnsi="Arial" w:cs="Arial"/>
                <w:sz w:val="24"/>
                <w:szCs w:val="24"/>
              </w:rPr>
              <w:t xml:space="preserve">The arrangements for each award will be set out in a Grant Agreement which includes appropriate terms and conditions, purpose of the award and payment, monitoring and reporting arrangements.  </w:t>
            </w:r>
          </w:p>
          <w:p w14:paraId="66050986" w14:textId="77777777" w:rsidR="00F7236A" w:rsidRPr="001D04C7" w:rsidRDefault="00F7236A" w:rsidP="00F7236A">
            <w:pPr>
              <w:rPr>
                <w:rFonts w:ascii="Arial" w:hAnsi="Arial" w:cs="Arial"/>
                <w:sz w:val="24"/>
                <w:szCs w:val="24"/>
              </w:rPr>
            </w:pPr>
            <w:r w:rsidRPr="001D04C7">
              <w:rPr>
                <w:rFonts w:ascii="Arial" w:hAnsi="Arial" w:cs="Arial"/>
                <w:sz w:val="24"/>
                <w:szCs w:val="24"/>
              </w:rPr>
              <w:t>A</w:t>
            </w:r>
            <w:r>
              <w:rPr>
                <w:rFonts w:ascii="Arial" w:hAnsi="Arial" w:cs="Arial"/>
                <w:sz w:val="24"/>
                <w:szCs w:val="24"/>
              </w:rPr>
              <w:t>s</w:t>
            </w:r>
            <w:r w:rsidRPr="001D04C7">
              <w:rPr>
                <w:rFonts w:ascii="Arial" w:hAnsi="Arial" w:cs="Arial"/>
                <w:sz w:val="24"/>
                <w:szCs w:val="24"/>
              </w:rPr>
              <w:t xml:space="preserve"> a minimum, in order to monitor the progress of funded projects, and provide reassurance that funding allocated is effectively meeting Policing Priorities in Gwent,</w:t>
            </w:r>
            <w:r>
              <w:rPr>
                <w:rFonts w:ascii="Arial" w:hAnsi="Arial" w:cs="Arial"/>
                <w:sz w:val="24"/>
                <w:szCs w:val="24"/>
              </w:rPr>
              <w:t xml:space="preserve"> as outlined in the Police and C</w:t>
            </w:r>
            <w:r w:rsidRPr="001D04C7">
              <w:rPr>
                <w:rFonts w:ascii="Arial" w:hAnsi="Arial" w:cs="Arial"/>
                <w:sz w:val="24"/>
                <w:szCs w:val="24"/>
              </w:rPr>
              <w:t>rime Plan, grant recipients are required to complete a mid</w:t>
            </w:r>
            <w:r w:rsidR="002A0B9A">
              <w:rPr>
                <w:rFonts w:ascii="Arial" w:hAnsi="Arial" w:cs="Arial"/>
                <w:sz w:val="24"/>
                <w:szCs w:val="24"/>
              </w:rPr>
              <w:t>-</w:t>
            </w:r>
            <w:r w:rsidRPr="001D04C7">
              <w:rPr>
                <w:rFonts w:ascii="Arial" w:hAnsi="Arial" w:cs="Arial"/>
                <w:sz w:val="24"/>
                <w:szCs w:val="24"/>
              </w:rPr>
              <w:t>year and an end of year monitoring report which will require the following information to be provided:</w:t>
            </w:r>
          </w:p>
          <w:p w14:paraId="6A4B3C82" w14:textId="77777777" w:rsidR="00F7236A" w:rsidRPr="001D04C7" w:rsidRDefault="00F7236A" w:rsidP="00F7236A">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Project Activity</w:t>
            </w:r>
            <w:r w:rsidR="005729CD">
              <w:rPr>
                <w:rFonts w:ascii="Arial" w:hAnsi="Arial" w:cs="Arial"/>
                <w:sz w:val="24"/>
                <w:szCs w:val="24"/>
              </w:rPr>
              <w:t>;</w:t>
            </w:r>
          </w:p>
          <w:p w14:paraId="635D3778" w14:textId="77777777" w:rsidR="00F7236A" w:rsidRPr="001D04C7" w:rsidRDefault="00F7236A" w:rsidP="00F7236A">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Project Outputs</w:t>
            </w:r>
            <w:r w:rsidR="005729CD">
              <w:rPr>
                <w:rFonts w:ascii="Arial" w:hAnsi="Arial" w:cs="Arial"/>
                <w:sz w:val="24"/>
                <w:szCs w:val="24"/>
              </w:rPr>
              <w:t>;</w:t>
            </w:r>
          </w:p>
          <w:p w14:paraId="0A25D42F" w14:textId="77777777" w:rsidR="00F7236A" w:rsidRPr="001D04C7" w:rsidRDefault="00F7236A" w:rsidP="00F7236A">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Project Outcomes</w:t>
            </w:r>
            <w:r w:rsidR="005729CD">
              <w:rPr>
                <w:rFonts w:ascii="Arial" w:hAnsi="Arial" w:cs="Arial"/>
                <w:sz w:val="24"/>
                <w:szCs w:val="24"/>
              </w:rPr>
              <w:t>;</w:t>
            </w:r>
          </w:p>
          <w:p w14:paraId="6849BD87" w14:textId="77777777" w:rsidR="00F7236A" w:rsidRPr="001D04C7" w:rsidRDefault="00F7236A" w:rsidP="00F7236A">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Breakdown of financial expenditure</w:t>
            </w:r>
            <w:r w:rsidR="005729CD">
              <w:rPr>
                <w:rFonts w:ascii="Arial" w:hAnsi="Arial" w:cs="Arial"/>
                <w:sz w:val="24"/>
                <w:szCs w:val="24"/>
              </w:rPr>
              <w:t>;</w:t>
            </w:r>
          </w:p>
          <w:p w14:paraId="6FF8D58F" w14:textId="77777777" w:rsidR="00F7236A" w:rsidRPr="001D04C7" w:rsidRDefault="00F7236A" w:rsidP="00F7236A">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Risk</w:t>
            </w:r>
            <w:r>
              <w:rPr>
                <w:rFonts w:ascii="Arial" w:hAnsi="Arial" w:cs="Arial"/>
                <w:sz w:val="24"/>
                <w:szCs w:val="24"/>
              </w:rPr>
              <w:t>s</w:t>
            </w:r>
            <w:r w:rsidR="005729CD">
              <w:rPr>
                <w:rFonts w:ascii="Arial" w:hAnsi="Arial" w:cs="Arial"/>
                <w:sz w:val="24"/>
                <w:szCs w:val="24"/>
              </w:rPr>
              <w:t>; and</w:t>
            </w:r>
          </w:p>
          <w:p w14:paraId="3825AFE8" w14:textId="77777777" w:rsidR="00F7236A" w:rsidRPr="001D04C7" w:rsidRDefault="00F7236A" w:rsidP="00F7236A">
            <w:pPr>
              <w:numPr>
                <w:ilvl w:val="0"/>
                <w:numId w:val="9"/>
              </w:numPr>
              <w:spacing w:after="0"/>
              <w:jc w:val="both"/>
              <w:rPr>
                <w:rFonts w:ascii="Arial" w:hAnsi="Arial" w:cs="Arial"/>
                <w:sz w:val="24"/>
                <w:szCs w:val="24"/>
              </w:rPr>
            </w:pPr>
            <w:r w:rsidRPr="001D04C7">
              <w:rPr>
                <w:rFonts w:ascii="Arial" w:hAnsi="Arial" w:cs="Arial"/>
                <w:sz w:val="24"/>
                <w:szCs w:val="24"/>
              </w:rPr>
              <w:t xml:space="preserve">Learning  </w:t>
            </w:r>
          </w:p>
          <w:p w14:paraId="18DA32EC" w14:textId="77777777" w:rsidR="00F7236A" w:rsidRPr="001D04C7" w:rsidRDefault="00F7236A" w:rsidP="00F7236A">
            <w:pPr>
              <w:spacing w:after="0"/>
              <w:ind w:left="360"/>
              <w:jc w:val="both"/>
              <w:rPr>
                <w:rFonts w:ascii="Arial" w:hAnsi="Arial" w:cs="Arial"/>
                <w:sz w:val="24"/>
                <w:szCs w:val="24"/>
              </w:rPr>
            </w:pPr>
          </w:p>
          <w:p w14:paraId="05E040D5" w14:textId="77777777" w:rsidR="00913C81" w:rsidRDefault="00913C81" w:rsidP="00913C81">
            <w:pPr>
              <w:spacing w:after="0"/>
              <w:jc w:val="both"/>
              <w:rPr>
                <w:rFonts w:ascii="Arial" w:hAnsi="Arial" w:cs="Arial"/>
                <w:sz w:val="24"/>
                <w:szCs w:val="24"/>
              </w:rPr>
            </w:pPr>
            <w:r w:rsidRPr="001D04C7">
              <w:rPr>
                <w:rFonts w:ascii="Arial" w:hAnsi="Arial" w:cs="Arial"/>
                <w:sz w:val="24"/>
                <w:szCs w:val="24"/>
              </w:rPr>
              <w:t xml:space="preserve">Where the </w:t>
            </w:r>
            <w:r>
              <w:rPr>
                <w:rFonts w:ascii="Arial" w:hAnsi="Arial" w:cs="Arial"/>
                <w:sz w:val="24"/>
                <w:szCs w:val="24"/>
              </w:rPr>
              <w:t xml:space="preserve">review </w:t>
            </w:r>
            <w:r w:rsidRPr="001D04C7">
              <w:rPr>
                <w:rFonts w:ascii="Arial" w:hAnsi="Arial" w:cs="Arial"/>
                <w:sz w:val="24"/>
                <w:szCs w:val="24"/>
              </w:rPr>
              <w:t>panel recommended additional conditions over and above the standard terms and conditions</w:t>
            </w:r>
            <w:r>
              <w:rPr>
                <w:rFonts w:ascii="Arial" w:hAnsi="Arial" w:cs="Arial"/>
                <w:sz w:val="24"/>
                <w:szCs w:val="24"/>
              </w:rPr>
              <w:t>, (in</w:t>
            </w:r>
            <w:r w:rsidRPr="001D04C7">
              <w:rPr>
                <w:rFonts w:ascii="Arial" w:hAnsi="Arial" w:cs="Arial"/>
                <w:sz w:val="24"/>
                <w:szCs w:val="24"/>
              </w:rPr>
              <w:t xml:space="preserve"> order to gain assurance and clarity in relation to project deliverables and outcomes</w:t>
            </w:r>
            <w:r>
              <w:rPr>
                <w:rFonts w:ascii="Arial" w:hAnsi="Arial" w:cs="Arial"/>
                <w:sz w:val="24"/>
                <w:szCs w:val="24"/>
              </w:rPr>
              <w:t>);</w:t>
            </w:r>
            <w:r w:rsidRPr="001D04C7">
              <w:rPr>
                <w:rFonts w:ascii="Arial" w:hAnsi="Arial" w:cs="Arial"/>
                <w:sz w:val="24"/>
                <w:szCs w:val="24"/>
              </w:rPr>
              <w:t xml:space="preserve"> these will be monitored in addition to the minimum monitoring and reporting requirements and where appropriate and proportiona</w:t>
            </w:r>
            <w:r>
              <w:rPr>
                <w:rFonts w:ascii="Arial" w:hAnsi="Arial" w:cs="Arial"/>
                <w:sz w:val="24"/>
                <w:szCs w:val="24"/>
              </w:rPr>
              <w:t>te,</w:t>
            </w:r>
            <w:r w:rsidRPr="001D04C7">
              <w:rPr>
                <w:rFonts w:ascii="Arial" w:hAnsi="Arial" w:cs="Arial"/>
                <w:sz w:val="24"/>
                <w:szCs w:val="24"/>
              </w:rPr>
              <w:t xml:space="preserve"> have been linked to the release of funding.</w:t>
            </w:r>
          </w:p>
          <w:p w14:paraId="0723EE98" w14:textId="77777777" w:rsidR="00F7236A" w:rsidRDefault="00F7236A" w:rsidP="00F7236A">
            <w:pPr>
              <w:spacing w:after="0"/>
              <w:jc w:val="both"/>
              <w:rPr>
                <w:rFonts w:ascii="Arial" w:hAnsi="Arial" w:cs="Arial"/>
                <w:sz w:val="24"/>
                <w:szCs w:val="24"/>
              </w:rPr>
            </w:pPr>
          </w:p>
          <w:p w14:paraId="0884EE13" w14:textId="77777777" w:rsidR="00F7236A" w:rsidRPr="001D04C7" w:rsidRDefault="00F7236A" w:rsidP="00F7236A">
            <w:pPr>
              <w:spacing w:after="0"/>
              <w:jc w:val="both"/>
              <w:rPr>
                <w:rFonts w:ascii="Arial" w:hAnsi="Arial" w:cs="Arial"/>
                <w:sz w:val="24"/>
                <w:szCs w:val="24"/>
              </w:rPr>
            </w:pPr>
            <w:r>
              <w:rPr>
                <w:rFonts w:ascii="Arial" w:hAnsi="Arial" w:cs="Arial"/>
                <w:sz w:val="24"/>
                <w:szCs w:val="24"/>
              </w:rPr>
              <w:t xml:space="preserve">Applicant organisations </w:t>
            </w:r>
            <w:r w:rsidRPr="001D04C7">
              <w:rPr>
                <w:rFonts w:ascii="Arial" w:hAnsi="Arial" w:cs="Arial"/>
                <w:sz w:val="24"/>
                <w:szCs w:val="24"/>
              </w:rPr>
              <w:t>will be required to accept the terms and conditions of the grant</w:t>
            </w:r>
            <w:r w:rsidR="002A0B9A">
              <w:rPr>
                <w:rFonts w:ascii="Arial" w:hAnsi="Arial" w:cs="Arial"/>
                <w:sz w:val="24"/>
                <w:szCs w:val="24"/>
              </w:rPr>
              <w:t>,</w:t>
            </w:r>
            <w:r w:rsidRPr="001D04C7">
              <w:rPr>
                <w:rFonts w:ascii="Arial" w:hAnsi="Arial" w:cs="Arial"/>
                <w:sz w:val="24"/>
                <w:szCs w:val="24"/>
              </w:rPr>
              <w:t xml:space="preserve"> which will be outlined in a Grant Agreement and Grant Offer Letter</w:t>
            </w:r>
            <w:r w:rsidR="002A0B9A">
              <w:rPr>
                <w:rFonts w:ascii="Arial" w:hAnsi="Arial" w:cs="Arial"/>
                <w:sz w:val="24"/>
                <w:szCs w:val="24"/>
              </w:rPr>
              <w:t>,</w:t>
            </w:r>
            <w:r w:rsidRPr="001D04C7">
              <w:rPr>
                <w:rFonts w:ascii="Arial" w:hAnsi="Arial" w:cs="Arial"/>
                <w:sz w:val="24"/>
                <w:szCs w:val="24"/>
              </w:rPr>
              <w:t xml:space="preserve"> by signing and returning the relevant documentation.</w:t>
            </w:r>
            <w:r>
              <w:rPr>
                <w:rFonts w:ascii="Arial" w:hAnsi="Arial" w:cs="Arial"/>
                <w:sz w:val="24"/>
                <w:szCs w:val="24"/>
              </w:rPr>
              <w:t xml:space="preserve"> Payment of grants is subject to ongoing compliance with the terms and conditions of the grant and satisfactory monitoring and reporting.</w:t>
            </w:r>
          </w:p>
          <w:p w14:paraId="6EAE12DC" w14:textId="77777777" w:rsidR="00F7236A" w:rsidRPr="00342A63" w:rsidRDefault="00F7236A" w:rsidP="00F7236A">
            <w:pPr>
              <w:pStyle w:val="Default"/>
              <w:jc w:val="both"/>
              <w:rPr>
                <w:szCs w:val="20"/>
              </w:rPr>
            </w:pPr>
          </w:p>
        </w:tc>
      </w:tr>
    </w:tbl>
    <w:p w14:paraId="24180822" w14:textId="77777777" w:rsidR="00320095" w:rsidRPr="00D8752E" w:rsidRDefault="00320095" w:rsidP="00D8752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475"/>
      </w:tblGrid>
      <w:tr w:rsidR="00320095" w:rsidRPr="00933DD9" w14:paraId="22BF2FDA" w14:textId="77777777" w:rsidTr="00933DD9">
        <w:tc>
          <w:tcPr>
            <w:tcW w:w="9242" w:type="dxa"/>
            <w:gridSpan w:val="2"/>
            <w:shd w:val="clear" w:color="auto" w:fill="auto"/>
          </w:tcPr>
          <w:p w14:paraId="48FCBBD8" w14:textId="499D9E84" w:rsidR="00320095" w:rsidRPr="00933DD9" w:rsidRDefault="008C1F9C" w:rsidP="008A6228">
            <w:pPr>
              <w:rPr>
                <w:rFonts w:ascii="Arial" w:hAnsi="Arial" w:cs="Arial"/>
                <w:b/>
                <w:sz w:val="24"/>
                <w:szCs w:val="24"/>
              </w:rPr>
            </w:pPr>
            <w:r>
              <w:rPr>
                <w:rFonts w:ascii="Arial" w:hAnsi="Arial" w:cs="Arial"/>
                <w:b/>
                <w:sz w:val="24"/>
                <w:szCs w:val="24"/>
              </w:rPr>
              <w:t>Jane Mudd, Police and Crime Commissioner for Gwent</w:t>
            </w:r>
          </w:p>
        </w:tc>
      </w:tr>
      <w:tr w:rsidR="00320095" w:rsidRPr="00933DD9" w14:paraId="6CB76F42" w14:textId="77777777" w:rsidTr="00933DD9">
        <w:tc>
          <w:tcPr>
            <w:tcW w:w="9242" w:type="dxa"/>
            <w:gridSpan w:val="2"/>
            <w:shd w:val="clear" w:color="auto" w:fill="auto"/>
          </w:tcPr>
          <w:p w14:paraId="1B9B84A1" w14:textId="77777777" w:rsidR="00320095" w:rsidRDefault="0067439C">
            <w:pPr>
              <w:rPr>
                <w:rFonts w:ascii="Arial" w:hAnsi="Arial" w:cs="Arial"/>
                <w:sz w:val="24"/>
                <w:szCs w:val="24"/>
              </w:rPr>
            </w:pPr>
            <w:r>
              <w:rPr>
                <w:rFonts w:ascii="Arial" w:hAnsi="Arial" w:cs="Arial"/>
                <w:sz w:val="24"/>
                <w:szCs w:val="24"/>
              </w:rPr>
              <w:t xml:space="preserve">I confirm I have considered whether or not I have any personal or prejudicial interest in this matter and take the proposed decision in compliance with my code of conduct.  </w:t>
            </w:r>
            <w:r>
              <w:rPr>
                <w:rFonts w:ascii="Arial" w:hAnsi="Arial" w:cs="Arial"/>
                <w:sz w:val="24"/>
                <w:szCs w:val="24"/>
              </w:rPr>
              <w:br/>
              <w:t>Any such interests are recorded below.</w:t>
            </w:r>
          </w:p>
          <w:p w14:paraId="383BE470" w14:textId="77777777" w:rsidR="0067439C" w:rsidRPr="00933DD9" w:rsidRDefault="0067439C">
            <w:pPr>
              <w:rPr>
                <w:rFonts w:ascii="Arial" w:hAnsi="Arial" w:cs="Arial"/>
                <w:sz w:val="24"/>
                <w:szCs w:val="24"/>
              </w:rPr>
            </w:pPr>
            <w:r>
              <w:rPr>
                <w:rFonts w:ascii="Arial" w:hAnsi="Arial" w:cs="Arial"/>
                <w:sz w:val="24"/>
                <w:szCs w:val="24"/>
              </w:rPr>
              <w:t>The above request has my approval.</w:t>
            </w:r>
          </w:p>
        </w:tc>
      </w:tr>
      <w:tr w:rsidR="00320095" w:rsidRPr="00933DD9" w14:paraId="0FB98071" w14:textId="77777777" w:rsidTr="00933DD9">
        <w:tc>
          <w:tcPr>
            <w:tcW w:w="4621" w:type="dxa"/>
            <w:shd w:val="clear" w:color="auto" w:fill="auto"/>
          </w:tcPr>
          <w:p w14:paraId="4C9F78CA" w14:textId="77777777" w:rsidR="00320095" w:rsidRDefault="00320095">
            <w:pPr>
              <w:rPr>
                <w:rFonts w:ascii="Arial" w:hAnsi="Arial" w:cs="Arial"/>
                <w:sz w:val="24"/>
                <w:szCs w:val="24"/>
              </w:rPr>
            </w:pPr>
            <w:r w:rsidRPr="00933DD9">
              <w:rPr>
                <w:rFonts w:ascii="Arial" w:hAnsi="Arial" w:cs="Arial"/>
                <w:sz w:val="24"/>
                <w:szCs w:val="24"/>
              </w:rPr>
              <w:t>Signed</w:t>
            </w:r>
          </w:p>
          <w:p w14:paraId="54341742" w14:textId="1CE9B8B9" w:rsidR="00394470" w:rsidRPr="00933DD9" w:rsidRDefault="00394470">
            <w:pPr>
              <w:rPr>
                <w:rFonts w:ascii="Arial" w:hAnsi="Arial" w:cs="Arial"/>
                <w:sz w:val="24"/>
                <w:szCs w:val="24"/>
              </w:rPr>
            </w:pPr>
            <w:r>
              <w:rPr>
                <w:noProof/>
              </w:rPr>
              <w:drawing>
                <wp:inline distT="0" distB="0" distL="0" distR="0" wp14:anchorId="4D6054CB" wp14:editId="03A1C372">
                  <wp:extent cx="1676400" cy="490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1676400" cy="490855"/>
                          </a:xfrm>
                          <a:prstGeom prst="rect">
                            <a:avLst/>
                          </a:prstGeom>
                        </pic:spPr>
                      </pic:pic>
                    </a:graphicData>
                  </a:graphic>
                </wp:inline>
              </w:drawing>
            </w:r>
          </w:p>
        </w:tc>
        <w:tc>
          <w:tcPr>
            <w:tcW w:w="4621" w:type="dxa"/>
            <w:shd w:val="clear" w:color="auto" w:fill="auto"/>
          </w:tcPr>
          <w:p w14:paraId="35DE1969" w14:textId="77777777" w:rsidR="00320095" w:rsidRDefault="00320095">
            <w:pPr>
              <w:rPr>
                <w:rFonts w:ascii="Arial" w:hAnsi="Arial" w:cs="Arial"/>
                <w:sz w:val="24"/>
                <w:szCs w:val="24"/>
              </w:rPr>
            </w:pPr>
            <w:r w:rsidRPr="00933DD9">
              <w:rPr>
                <w:rFonts w:ascii="Arial" w:hAnsi="Arial" w:cs="Arial"/>
                <w:sz w:val="24"/>
                <w:szCs w:val="24"/>
              </w:rPr>
              <w:t>Date</w:t>
            </w:r>
          </w:p>
          <w:p w14:paraId="6D6D288C" w14:textId="6AB1617F" w:rsidR="00394470" w:rsidRPr="00933DD9" w:rsidRDefault="00394470">
            <w:pPr>
              <w:rPr>
                <w:rFonts w:ascii="Arial" w:hAnsi="Arial" w:cs="Arial"/>
                <w:sz w:val="24"/>
                <w:szCs w:val="24"/>
              </w:rPr>
            </w:pPr>
            <w:r>
              <w:rPr>
                <w:rFonts w:ascii="Arial" w:hAnsi="Arial" w:cs="Arial"/>
                <w:sz w:val="24"/>
                <w:szCs w:val="24"/>
              </w:rPr>
              <w:t>24.04.2025</w:t>
            </w:r>
          </w:p>
        </w:tc>
      </w:tr>
    </w:tbl>
    <w:p w14:paraId="5A813302" w14:textId="77777777" w:rsidR="00D0462B" w:rsidRPr="00D8752E" w:rsidRDefault="00D0462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547"/>
      </w:tblGrid>
      <w:tr w:rsidR="00320095" w:rsidRPr="00933DD9" w14:paraId="1C864CD9" w14:textId="77777777" w:rsidTr="00933DD9">
        <w:tc>
          <w:tcPr>
            <w:tcW w:w="4621" w:type="dxa"/>
            <w:shd w:val="clear" w:color="auto" w:fill="auto"/>
          </w:tcPr>
          <w:p w14:paraId="298ECA44" w14:textId="77777777" w:rsidR="00320095" w:rsidRPr="00933DD9" w:rsidRDefault="00320095">
            <w:pPr>
              <w:rPr>
                <w:rFonts w:ascii="Arial" w:hAnsi="Arial" w:cs="Arial"/>
                <w:b/>
                <w:sz w:val="24"/>
                <w:szCs w:val="24"/>
              </w:rPr>
            </w:pPr>
            <w:r w:rsidRPr="00933DD9">
              <w:rPr>
                <w:rFonts w:ascii="Arial" w:hAnsi="Arial" w:cs="Arial"/>
                <w:b/>
                <w:sz w:val="24"/>
                <w:szCs w:val="24"/>
              </w:rPr>
              <w:lastRenderedPageBreak/>
              <w:t>Contact Officer</w:t>
            </w:r>
          </w:p>
        </w:tc>
        <w:tc>
          <w:tcPr>
            <w:tcW w:w="4621" w:type="dxa"/>
            <w:shd w:val="clear" w:color="auto" w:fill="auto"/>
          </w:tcPr>
          <w:p w14:paraId="65F253D0" w14:textId="77777777" w:rsidR="00320095" w:rsidRPr="00933DD9" w:rsidRDefault="00320095">
            <w:pPr>
              <w:rPr>
                <w:rFonts w:ascii="Arial" w:hAnsi="Arial" w:cs="Arial"/>
                <w:sz w:val="24"/>
                <w:szCs w:val="24"/>
              </w:rPr>
            </w:pPr>
          </w:p>
        </w:tc>
      </w:tr>
      <w:tr w:rsidR="00320095" w:rsidRPr="00933DD9" w14:paraId="38753969" w14:textId="77777777" w:rsidTr="00933DD9">
        <w:tc>
          <w:tcPr>
            <w:tcW w:w="4621" w:type="dxa"/>
            <w:shd w:val="clear" w:color="auto" w:fill="auto"/>
          </w:tcPr>
          <w:p w14:paraId="673EE517" w14:textId="77777777" w:rsidR="004D12E8" w:rsidRPr="00933DD9" w:rsidRDefault="00320095">
            <w:pPr>
              <w:rPr>
                <w:rFonts w:ascii="Arial" w:hAnsi="Arial" w:cs="Arial"/>
                <w:sz w:val="24"/>
                <w:szCs w:val="24"/>
              </w:rPr>
            </w:pPr>
            <w:r w:rsidRPr="00933DD9">
              <w:rPr>
                <w:rFonts w:ascii="Arial" w:hAnsi="Arial" w:cs="Arial"/>
                <w:sz w:val="24"/>
                <w:szCs w:val="24"/>
              </w:rPr>
              <w:t>Name</w:t>
            </w:r>
          </w:p>
        </w:tc>
        <w:tc>
          <w:tcPr>
            <w:tcW w:w="4621" w:type="dxa"/>
            <w:shd w:val="clear" w:color="auto" w:fill="auto"/>
          </w:tcPr>
          <w:p w14:paraId="72E78F66" w14:textId="170C279B" w:rsidR="00320095" w:rsidRPr="00933DD9" w:rsidRDefault="002F72F4">
            <w:pPr>
              <w:rPr>
                <w:rFonts w:ascii="Arial" w:hAnsi="Arial" w:cs="Arial"/>
                <w:sz w:val="24"/>
                <w:szCs w:val="24"/>
              </w:rPr>
            </w:pPr>
            <w:r>
              <w:rPr>
                <w:rFonts w:ascii="Arial" w:hAnsi="Arial" w:cs="Arial"/>
                <w:sz w:val="24"/>
                <w:szCs w:val="24"/>
              </w:rPr>
              <w:t>Robert James</w:t>
            </w:r>
          </w:p>
        </w:tc>
      </w:tr>
      <w:tr w:rsidR="00320095" w:rsidRPr="00933DD9" w14:paraId="3AE37B13" w14:textId="77777777" w:rsidTr="00933DD9">
        <w:tc>
          <w:tcPr>
            <w:tcW w:w="4621" w:type="dxa"/>
            <w:shd w:val="clear" w:color="auto" w:fill="auto"/>
          </w:tcPr>
          <w:p w14:paraId="042846A4" w14:textId="77777777" w:rsidR="004D12E8" w:rsidRPr="00933DD9" w:rsidRDefault="00320095">
            <w:pPr>
              <w:rPr>
                <w:rFonts w:ascii="Arial" w:hAnsi="Arial" w:cs="Arial"/>
                <w:sz w:val="24"/>
                <w:szCs w:val="24"/>
              </w:rPr>
            </w:pPr>
            <w:r w:rsidRPr="00933DD9">
              <w:rPr>
                <w:rFonts w:ascii="Arial" w:hAnsi="Arial" w:cs="Arial"/>
                <w:sz w:val="24"/>
                <w:szCs w:val="24"/>
              </w:rPr>
              <w:t>Position</w:t>
            </w:r>
          </w:p>
        </w:tc>
        <w:tc>
          <w:tcPr>
            <w:tcW w:w="4621" w:type="dxa"/>
            <w:shd w:val="clear" w:color="auto" w:fill="auto"/>
          </w:tcPr>
          <w:p w14:paraId="182ABEB9" w14:textId="4E87060E" w:rsidR="00320095" w:rsidRPr="00933DD9" w:rsidRDefault="002F72F4">
            <w:pPr>
              <w:rPr>
                <w:rFonts w:ascii="Arial" w:hAnsi="Arial" w:cs="Arial"/>
                <w:sz w:val="24"/>
                <w:szCs w:val="24"/>
              </w:rPr>
            </w:pPr>
            <w:r>
              <w:rPr>
                <w:rFonts w:ascii="Arial" w:hAnsi="Arial" w:cs="Arial"/>
                <w:sz w:val="24"/>
                <w:szCs w:val="24"/>
              </w:rPr>
              <w:t>Commissioning &amp; Funding Manager</w:t>
            </w:r>
          </w:p>
        </w:tc>
      </w:tr>
      <w:tr w:rsidR="00320095" w:rsidRPr="00933DD9" w14:paraId="59D747BA" w14:textId="77777777" w:rsidTr="00933DD9">
        <w:tc>
          <w:tcPr>
            <w:tcW w:w="4621" w:type="dxa"/>
            <w:shd w:val="clear" w:color="auto" w:fill="auto"/>
          </w:tcPr>
          <w:p w14:paraId="43F566C3" w14:textId="77777777" w:rsidR="00F5743B" w:rsidRPr="00933DD9" w:rsidRDefault="00320095">
            <w:pPr>
              <w:rPr>
                <w:rFonts w:ascii="Arial" w:hAnsi="Arial" w:cs="Arial"/>
                <w:sz w:val="24"/>
                <w:szCs w:val="24"/>
              </w:rPr>
            </w:pPr>
            <w:r w:rsidRPr="00933DD9">
              <w:rPr>
                <w:rFonts w:ascii="Arial" w:hAnsi="Arial" w:cs="Arial"/>
                <w:sz w:val="24"/>
                <w:szCs w:val="24"/>
              </w:rPr>
              <w:t>Telephone</w:t>
            </w:r>
          </w:p>
        </w:tc>
        <w:tc>
          <w:tcPr>
            <w:tcW w:w="4621" w:type="dxa"/>
            <w:shd w:val="clear" w:color="auto" w:fill="auto"/>
          </w:tcPr>
          <w:p w14:paraId="38741F08" w14:textId="77777777" w:rsidR="00320095" w:rsidRPr="00933DD9" w:rsidRDefault="00342A63">
            <w:pPr>
              <w:rPr>
                <w:rFonts w:ascii="Arial" w:hAnsi="Arial" w:cs="Arial"/>
                <w:sz w:val="24"/>
                <w:szCs w:val="24"/>
              </w:rPr>
            </w:pPr>
            <w:r>
              <w:rPr>
                <w:rFonts w:ascii="Arial" w:hAnsi="Arial" w:cs="Arial"/>
                <w:sz w:val="24"/>
                <w:szCs w:val="24"/>
              </w:rPr>
              <w:t>01633 642200</w:t>
            </w:r>
          </w:p>
        </w:tc>
      </w:tr>
      <w:tr w:rsidR="00320095" w:rsidRPr="00933DD9" w14:paraId="1B367CA3" w14:textId="77777777" w:rsidTr="00933DD9">
        <w:tc>
          <w:tcPr>
            <w:tcW w:w="4621" w:type="dxa"/>
            <w:shd w:val="clear" w:color="auto" w:fill="auto"/>
          </w:tcPr>
          <w:p w14:paraId="32E791E6" w14:textId="77777777" w:rsidR="00F5743B" w:rsidRPr="00933DD9" w:rsidRDefault="00320095">
            <w:pPr>
              <w:rPr>
                <w:rFonts w:ascii="Arial" w:hAnsi="Arial" w:cs="Arial"/>
                <w:sz w:val="24"/>
                <w:szCs w:val="24"/>
              </w:rPr>
            </w:pPr>
            <w:r w:rsidRPr="00933DD9">
              <w:rPr>
                <w:rFonts w:ascii="Arial" w:hAnsi="Arial" w:cs="Arial"/>
                <w:sz w:val="24"/>
                <w:szCs w:val="24"/>
              </w:rPr>
              <w:t>Email</w:t>
            </w:r>
          </w:p>
        </w:tc>
        <w:tc>
          <w:tcPr>
            <w:tcW w:w="4621" w:type="dxa"/>
            <w:shd w:val="clear" w:color="auto" w:fill="auto"/>
          </w:tcPr>
          <w:p w14:paraId="78D4EA89" w14:textId="6A44BE69" w:rsidR="00342A63" w:rsidRPr="00933DD9" w:rsidRDefault="002F72F4" w:rsidP="00320095">
            <w:pPr>
              <w:rPr>
                <w:rFonts w:ascii="Arial" w:hAnsi="Arial" w:cs="Arial"/>
                <w:sz w:val="24"/>
                <w:szCs w:val="24"/>
              </w:rPr>
            </w:pPr>
            <w:hyperlink r:id="rId11" w:history="1">
              <w:r w:rsidRPr="00C44267">
                <w:rPr>
                  <w:rStyle w:val="Hyperlink"/>
                  <w:rFonts w:ascii="Arial" w:hAnsi="Arial" w:cs="Arial"/>
                  <w:sz w:val="24"/>
                  <w:szCs w:val="24"/>
                </w:rPr>
                <w:t>rob.james@gwent.police.uk</w:t>
              </w:r>
            </w:hyperlink>
          </w:p>
        </w:tc>
      </w:tr>
      <w:tr w:rsidR="00320095" w:rsidRPr="00933DD9" w14:paraId="017A1B44" w14:textId="77777777" w:rsidTr="00933DD9">
        <w:tc>
          <w:tcPr>
            <w:tcW w:w="4621" w:type="dxa"/>
            <w:shd w:val="clear" w:color="auto" w:fill="auto"/>
          </w:tcPr>
          <w:p w14:paraId="14583E3A" w14:textId="77777777" w:rsidR="004D12E8" w:rsidRPr="00933DD9" w:rsidRDefault="00320095">
            <w:pPr>
              <w:rPr>
                <w:rFonts w:ascii="Arial" w:hAnsi="Arial" w:cs="Arial"/>
                <w:b/>
                <w:sz w:val="24"/>
                <w:szCs w:val="24"/>
              </w:rPr>
            </w:pPr>
            <w:r w:rsidRPr="00933DD9">
              <w:rPr>
                <w:rFonts w:ascii="Arial" w:hAnsi="Arial" w:cs="Arial"/>
                <w:b/>
                <w:sz w:val="24"/>
                <w:szCs w:val="24"/>
              </w:rPr>
              <w:t>Background papers</w:t>
            </w:r>
          </w:p>
        </w:tc>
        <w:tc>
          <w:tcPr>
            <w:tcW w:w="4621" w:type="dxa"/>
            <w:shd w:val="clear" w:color="auto" w:fill="auto"/>
          </w:tcPr>
          <w:p w14:paraId="1857F5B7" w14:textId="5721CB5C" w:rsidR="00320095" w:rsidRPr="00933DD9" w:rsidRDefault="002F72F4">
            <w:pPr>
              <w:rPr>
                <w:rFonts w:ascii="Arial" w:hAnsi="Arial" w:cs="Arial"/>
                <w:sz w:val="24"/>
                <w:szCs w:val="24"/>
              </w:rPr>
            </w:pPr>
            <w:r>
              <w:rPr>
                <w:rFonts w:ascii="Arial" w:hAnsi="Arial" w:cs="Arial"/>
                <w:sz w:val="24"/>
                <w:szCs w:val="24"/>
              </w:rPr>
              <w:t>Original application forms</w:t>
            </w:r>
          </w:p>
        </w:tc>
      </w:tr>
    </w:tbl>
    <w:p w14:paraId="4474B281" w14:textId="77777777" w:rsidR="00320095" w:rsidRPr="00D8752E" w:rsidRDefault="00320095">
      <w:pPr>
        <w:rPr>
          <w:rFonts w:ascii="Arial" w:hAnsi="Arial" w:cs="Arial"/>
          <w:sz w:val="24"/>
          <w:szCs w:val="24"/>
        </w:rPr>
      </w:pPr>
    </w:p>
    <w:sectPr w:rsidR="00320095" w:rsidRPr="00D875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3374" w14:textId="77777777" w:rsidR="00712382" w:rsidRDefault="00712382" w:rsidP="002E7BE6">
      <w:pPr>
        <w:spacing w:after="0" w:line="240" w:lineRule="auto"/>
      </w:pPr>
      <w:r>
        <w:separator/>
      </w:r>
    </w:p>
  </w:endnote>
  <w:endnote w:type="continuationSeparator" w:id="0">
    <w:p w14:paraId="1164BA4D" w14:textId="77777777" w:rsidR="00712382" w:rsidRDefault="00712382" w:rsidP="002E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0DE8C" w14:textId="77777777" w:rsidR="00712382" w:rsidRDefault="00712382" w:rsidP="002E7BE6">
      <w:pPr>
        <w:spacing w:after="0" w:line="240" w:lineRule="auto"/>
      </w:pPr>
      <w:r>
        <w:separator/>
      </w:r>
    </w:p>
  </w:footnote>
  <w:footnote w:type="continuationSeparator" w:id="0">
    <w:p w14:paraId="1363A5E4" w14:textId="77777777" w:rsidR="00712382" w:rsidRDefault="00712382" w:rsidP="002E7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B87"/>
    <w:multiLevelType w:val="hybridMultilevel"/>
    <w:tmpl w:val="88BC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D4698"/>
    <w:multiLevelType w:val="hybridMultilevel"/>
    <w:tmpl w:val="EC866A4A"/>
    <w:lvl w:ilvl="0" w:tplc="2F52C81A">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E3DEB"/>
    <w:multiLevelType w:val="hybridMultilevel"/>
    <w:tmpl w:val="4B3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147831"/>
    <w:multiLevelType w:val="hybridMultilevel"/>
    <w:tmpl w:val="963AB23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5" w15:restartNumberingAfterBreak="0">
    <w:nsid w:val="45F912A3"/>
    <w:multiLevelType w:val="hybridMultilevel"/>
    <w:tmpl w:val="2D00DE46"/>
    <w:lvl w:ilvl="0" w:tplc="6DEEBCBC">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9092753">
    <w:abstractNumId w:val="7"/>
  </w:num>
  <w:num w:numId="2" w16cid:durableId="1185635593">
    <w:abstractNumId w:val="8"/>
  </w:num>
  <w:num w:numId="3" w16cid:durableId="864711243">
    <w:abstractNumId w:val="6"/>
  </w:num>
  <w:num w:numId="4" w16cid:durableId="1432505683">
    <w:abstractNumId w:val="1"/>
  </w:num>
  <w:num w:numId="5" w16cid:durableId="626813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92943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483075">
    <w:abstractNumId w:val="2"/>
  </w:num>
  <w:num w:numId="8" w16cid:durableId="162939790">
    <w:abstractNumId w:val="0"/>
  </w:num>
  <w:num w:numId="9" w16cid:durableId="615479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267FF"/>
    <w:rsid w:val="00027E31"/>
    <w:rsid w:val="00034BE3"/>
    <w:rsid w:val="000355D9"/>
    <w:rsid w:val="00055150"/>
    <w:rsid w:val="000617E5"/>
    <w:rsid w:val="00072E59"/>
    <w:rsid w:val="0008452F"/>
    <w:rsid w:val="00086F5D"/>
    <w:rsid w:val="001057CB"/>
    <w:rsid w:val="00110F06"/>
    <w:rsid w:val="00137C03"/>
    <w:rsid w:val="001647A5"/>
    <w:rsid w:val="0017034C"/>
    <w:rsid w:val="001740D8"/>
    <w:rsid w:val="00175C6D"/>
    <w:rsid w:val="001941C4"/>
    <w:rsid w:val="00197F7B"/>
    <w:rsid w:val="001B0F11"/>
    <w:rsid w:val="001C593E"/>
    <w:rsid w:val="001C62BB"/>
    <w:rsid w:val="001C746B"/>
    <w:rsid w:val="001E7021"/>
    <w:rsid w:val="001F2E0F"/>
    <w:rsid w:val="00213C93"/>
    <w:rsid w:val="002166BD"/>
    <w:rsid w:val="0022238B"/>
    <w:rsid w:val="00242198"/>
    <w:rsid w:val="00244F3E"/>
    <w:rsid w:val="002625E0"/>
    <w:rsid w:val="0027438B"/>
    <w:rsid w:val="002918B1"/>
    <w:rsid w:val="0029195F"/>
    <w:rsid w:val="002A0B9A"/>
    <w:rsid w:val="002D39E9"/>
    <w:rsid w:val="002E7BE6"/>
    <w:rsid w:val="002F43CC"/>
    <w:rsid w:val="002F72F4"/>
    <w:rsid w:val="0030259C"/>
    <w:rsid w:val="00306E47"/>
    <w:rsid w:val="00310236"/>
    <w:rsid w:val="00320095"/>
    <w:rsid w:val="0033659B"/>
    <w:rsid w:val="00342A63"/>
    <w:rsid w:val="00352D07"/>
    <w:rsid w:val="00355998"/>
    <w:rsid w:val="00394470"/>
    <w:rsid w:val="003A0D05"/>
    <w:rsid w:val="003E2C02"/>
    <w:rsid w:val="003F02DF"/>
    <w:rsid w:val="003F6D85"/>
    <w:rsid w:val="00453DDB"/>
    <w:rsid w:val="0045450A"/>
    <w:rsid w:val="0045799C"/>
    <w:rsid w:val="00482DB5"/>
    <w:rsid w:val="004D12E8"/>
    <w:rsid w:val="004E3CEF"/>
    <w:rsid w:val="004F7A9B"/>
    <w:rsid w:val="005033D8"/>
    <w:rsid w:val="00523A31"/>
    <w:rsid w:val="00542CB1"/>
    <w:rsid w:val="00555ACF"/>
    <w:rsid w:val="00555C9B"/>
    <w:rsid w:val="0055678C"/>
    <w:rsid w:val="00565BD0"/>
    <w:rsid w:val="005729CD"/>
    <w:rsid w:val="00576A57"/>
    <w:rsid w:val="005C13A6"/>
    <w:rsid w:val="00621046"/>
    <w:rsid w:val="00650D65"/>
    <w:rsid w:val="0065164A"/>
    <w:rsid w:val="006607EA"/>
    <w:rsid w:val="0067439C"/>
    <w:rsid w:val="00711B93"/>
    <w:rsid w:val="00712382"/>
    <w:rsid w:val="00741E0F"/>
    <w:rsid w:val="007D2251"/>
    <w:rsid w:val="007E2A25"/>
    <w:rsid w:val="008055A0"/>
    <w:rsid w:val="00810511"/>
    <w:rsid w:val="00827D9F"/>
    <w:rsid w:val="00855B92"/>
    <w:rsid w:val="0086705B"/>
    <w:rsid w:val="00885510"/>
    <w:rsid w:val="00897CBD"/>
    <w:rsid w:val="008A5DD4"/>
    <w:rsid w:val="008A6228"/>
    <w:rsid w:val="008C1F9C"/>
    <w:rsid w:val="008E0DBA"/>
    <w:rsid w:val="008F17DC"/>
    <w:rsid w:val="008F58A0"/>
    <w:rsid w:val="00900C97"/>
    <w:rsid w:val="00901E30"/>
    <w:rsid w:val="00913C81"/>
    <w:rsid w:val="00923CB9"/>
    <w:rsid w:val="00933DD9"/>
    <w:rsid w:val="00940C3B"/>
    <w:rsid w:val="00957775"/>
    <w:rsid w:val="009C1CDF"/>
    <w:rsid w:val="009D678F"/>
    <w:rsid w:val="00A04872"/>
    <w:rsid w:val="00A10E22"/>
    <w:rsid w:val="00A12C14"/>
    <w:rsid w:val="00A23C5E"/>
    <w:rsid w:val="00A25FB4"/>
    <w:rsid w:val="00A67E02"/>
    <w:rsid w:val="00A7617B"/>
    <w:rsid w:val="00A85DD6"/>
    <w:rsid w:val="00AD4D0E"/>
    <w:rsid w:val="00AE5242"/>
    <w:rsid w:val="00AF5AF4"/>
    <w:rsid w:val="00B02257"/>
    <w:rsid w:val="00B6168D"/>
    <w:rsid w:val="00B7684C"/>
    <w:rsid w:val="00BA56B5"/>
    <w:rsid w:val="00BD404E"/>
    <w:rsid w:val="00BD4AF4"/>
    <w:rsid w:val="00BE36E2"/>
    <w:rsid w:val="00BF6E2F"/>
    <w:rsid w:val="00C13712"/>
    <w:rsid w:val="00C3660F"/>
    <w:rsid w:val="00C44D1F"/>
    <w:rsid w:val="00C6659C"/>
    <w:rsid w:val="00CB6B33"/>
    <w:rsid w:val="00CD58A2"/>
    <w:rsid w:val="00CF39D5"/>
    <w:rsid w:val="00D025BD"/>
    <w:rsid w:val="00D0350A"/>
    <w:rsid w:val="00D0462B"/>
    <w:rsid w:val="00D152B6"/>
    <w:rsid w:val="00D2453A"/>
    <w:rsid w:val="00D27C36"/>
    <w:rsid w:val="00D31CC3"/>
    <w:rsid w:val="00D8752E"/>
    <w:rsid w:val="00D879C4"/>
    <w:rsid w:val="00DA1053"/>
    <w:rsid w:val="00DA2E4B"/>
    <w:rsid w:val="00DB41FC"/>
    <w:rsid w:val="00E04948"/>
    <w:rsid w:val="00E2249C"/>
    <w:rsid w:val="00E31691"/>
    <w:rsid w:val="00E3356F"/>
    <w:rsid w:val="00E335BB"/>
    <w:rsid w:val="00E506F8"/>
    <w:rsid w:val="00E536AF"/>
    <w:rsid w:val="00E56EE4"/>
    <w:rsid w:val="00E622B8"/>
    <w:rsid w:val="00E66D42"/>
    <w:rsid w:val="00E80733"/>
    <w:rsid w:val="00E80C77"/>
    <w:rsid w:val="00EB3D34"/>
    <w:rsid w:val="00ED773A"/>
    <w:rsid w:val="00F0648A"/>
    <w:rsid w:val="00F0734B"/>
    <w:rsid w:val="00F22A16"/>
    <w:rsid w:val="00F4741F"/>
    <w:rsid w:val="00F5654C"/>
    <w:rsid w:val="00F5743B"/>
    <w:rsid w:val="00F62781"/>
    <w:rsid w:val="00F66EE6"/>
    <w:rsid w:val="00F7236A"/>
    <w:rsid w:val="00F83183"/>
    <w:rsid w:val="00F97772"/>
    <w:rsid w:val="00FB1974"/>
    <w:rsid w:val="00FB581C"/>
    <w:rsid w:val="00FB7C33"/>
    <w:rsid w:val="00FF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7CDE1B1"/>
  <w15:chartTrackingRefBased/>
  <w15:docId w15:val="{6F95B89C-8B7E-4437-96D7-2CF040B6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1"/>
    <w:pPr>
      <w:autoSpaceDE w:val="0"/>
      <w:autoSpaceDN w:val="0"/>
      <w:adjustRightInd w:val="0"/>
    </w:pPr>
    <w:rPr>
      <w:rFonts w:ascii="Arial" w:eastAsia="Times New Roman" w:hAnsi="Arial" w:cs="Arial"/>
      <w:color w:val="000000"/>
      <w:sz w:val="24"/>
      <w:szCs w:val="24"/>
    </w:rPr>
  </w:style>
  <w:style w:type="paragraph" w:styleId="NoSpacing">
    <w:name w:val="No Spacing"/>
    <w:autoRedefine/>
    <w:uiPriority w:val="1"/>
    <w:qFormat/>
    <w:rsid w:val="002625E0"/>
    <w:pPr>
      <w:numPr>
        <w:numId w:val="7"/>
      </w:numPr>
    </w:pPr>
    <w:rPr>
      <w:sz w:val="24"/>
      <w:szCs w:val="24"/>
      <w:lang w:eastAsia="en-US"/>
    </w:rPr>
  </w:style>
  <w:style w:type="character" w:styleId="CommentReference">
    <w:name w:val="annotation reference"/>
    <w:uiPriority w:val="99"/>
    <w:semiHidden/>
    <w:unhideWhenUsed/>
    <w:rsid w:val="00342A63"/>
    <w:rPr>
      <w:sz w:val="16"/>
      <w:szCs w:val="16"/>
    </w:rPr>
  </w:style>
  <w:style w:type="paragraph" w:styleId="CommentText">
    <w:name w:val="annotation text"/>
    <w:basedOn w:val="Normal"/>
    <w:link w:val="CommentTextChar"/>
    <w:uiPriority w:val="99"/>
    <w:semiHidden/>
    <w:unhideWhenUsed/>
    <w:rsid w:val="00342A63"/>
    <w:rPr>
      <w:sz w:val="20"/>
      <w:szCs w:val="20"/>
    </w:rPr>
  </w:style>
  <w:style w:type="character" w:customStyle="1" w:styleId="CommentTextChar">
    <w:name w:val="Comment Text Char"/>
    <w:link w:val="CommentText"/>
    <w:uiPriority w:val="99"/>
    <w:semiHidden/>
    <w:rsid w:val="00342A63"/>
    <w:rPr>
      <w:lang w:eastAsia="en-US"/>
    </w:rPr>
  </w:style>
  <w:style w:type="paragraph" w:styleId="CommentSubject">
    <w:name w:val="annotation subject"/>
    <w:basedOn w:val="CommentText"/>
    <w:next w:val="CommentText"/>
    <w:link w:val="CommentSubjectChar"/>
    <w:uiPriority w:val="99"/>
    <w:semiHidden/>
    <w:unhideWhenUsed/>
    <w:rsid w:val="00342A63"/>
    <w:rPr>
      <w:b/>
      <w:bCs/>
    </w:rPr>
  </w:style>
  <w:style w:type="character" w:customStyle="1" w:styleId="CommentSubjectChar">
    <w:name w:val="Comment Subject Char"/>
    <w:link w:val="CommentSubject"/>
    <w:uiPriority w:val="99"/>
    <w:semiHidden/>
    <w:rsid w:val="00342A63"/>
    <w:rPr>
      <w:b/>
      <w:bCs/>
      <w:lang w:eastAsia="en-US"/>
    </w:rPr>
  </w:style>
  <w:style w:type="paragraph" w:styleId="BalloonText">
    <w:name w:val="Balloon Text"/>
    <w:basedOn w:val="Normal"/>
    <w:link w:val="BalloonTextChar"/>
    <w:uiPriority w:val="99"/>
    <w:semiHidden/>
    <w:unhideWhenUsed/>
    <w:rsid w:val="00342A6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42A63"/>
    <w:rPr>
      <w:rFonts w:ascii="Segoe UI" w:hAnsi="Segoe UI" w:cs="Segoe UI"/>
      <w:sz w:val="18"/>
      <w:szCs w:val="18"/>
      <w:lang w:eastAsia="en-US"/>
    </w:rPr>
  </w:style>
  <w:style w:type="character" w:styleId="Hyperlink">
    <w:name w:val="Hyperlink"/>
    <w:uiPriority w:val="99"/>
    <w:unhideWhenUsed/>
    <w:rsid w:val="00342A63"/>
    <w:rPr>
      <w:color w:val="0563C1"/>
      <w:u w:val="single"/>
    </w:rPr>
  </w:style>
  <w:style w:type="paragraph" w:styleId="Header">
    <w:name w:val="header"/>
    <w:basedOn w:val="Normal"/>
    <w:link w:val="HeaderChar"/>
    <w:uiPriority w:val="99"/>
    <w:unhideWhenUsed/>
    <w:rsid w:val="002E7BE6"/>
    <w:pPr>
      <w:tabs>
        <w:tab w:val="center" w:pos="4513"/>
        <w:tab w:val="right" w:pos="9026"/>
      </w:tabs>
    </w:pPr>
  </w:style>
  <w:style w:type="character" w:customStyle="1" w:styleId="HeaderChar">
    <w:name w:val="Header Char"/>
    <w:link w:val="Header"/>
    <w:uiPriority w:val="99"/>
    <w:rsid w:val="002E7BE6"/>
    <w:rPr>
      <w:sz w:val="22"/>
      <w:szCs w:val="22"/>
      <w:lang w:eastAsia="en-US"/>
    </w:rPr>
  </w:style>
  <w:style w:type="paragraph" w:styleId="Footer">
    <w:name w:val="footer"/>
    <w:basedOn w:val="Normal"/>
    <w:link w:val="FooterChar"/>
    <w:uiPriority w:val="99"/>
    <w:unhideWhenUsed/>
    <w:rsid w:val="002E7BE6"/>
    <w:pPr>
      <w:tabs>
        <w:tab w:val="center" w:pos="4513"/>
        <w:tab w:val="right" w:pos="9026"/>
      </w:tabs>
    </w:pPr>
  </w:style>
  <w:style w:type="character" w:customStyle="1" w:styleId="FooterChar">
    <w:name w:val="Footer Char"/>
    <w:link w:val="Footer"/>
    <w:uiPriority w:val="99"/>
    <w:rsid w:val="002E7BE6"/>
    <w:rPr>
      <w:sz w:val="22"/>
      <w:szCs w:val="22"/>
      <w:lang w:eastAsia="en-US"/>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5C13A6"/>
    <w:pPr>
      <w:ind w:left="720"/>
      <w:contextualSpacing/>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locked/>
    <w:rsid w:val="005C13A6"/>
    <w:rPr>
      <w:sz w:val="22"/>
      <w:szCs w:val="22"/>
      <w:lang w:eastAsia="en-US"/>
    </w:rPr>
  </w:style>
  <w:style w:type="character" w:styleId="UnresolvedMention">
    <w:name w:val="Unresolved Mention"/>
    <w:uiPriority w:val="99"/>
    <w:semiHidden/>
    <w:unhideWhenUsed/>
    <w:rsid w:val="00810511"/>
    <w:rPr>
      <w:color w:val="605E5C"/>
      <w:shd w:val="clear" w:color="auto" w:fill="E1DFDD"/>
    </w:rPr>
  </w:style>
  <w:style w:type="paragraph" w:styleId="Revision">
    <w:name w:val="Revision"/>
    <w:hidden/>
    <w:uiPriority w:val="99"/>
    <w:semiHidden/>
    <w:rsid w:val="00197F7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james@gwent.police.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9" ma:contentTypeDescription="Create a new document." ma:contentTypeScope="" ma:versionID="d7b8005c6b2b5ff70a272f90f4e4d7be">
  <xsd:schema xmlns:xsd="http://www.w3.org/2001/XMLSchema" xmlns:xs="http://www.w3.org/2001/XMLSchema" xmlns:p="http://schemas.microsoft.com/office/2006/metadata/properties" xmlns:ns3="fb6b97cf-7331-40db-be90-6cfa827a7514" targetNamespace="http://schemas.microsoft.com/office/2006/metadata/properties" ma:root="true" ma:fieldsID="3b2750c299449fb4984691610074b909" ns3:_="">
    <xsd:import namespace="fb6b97cf-7331-40db-be90-6cfa827a75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6AE25-07BE-4729-BE5E-8EC63DCC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D9D90-FA76-4DFF-9D65-14AE7B3D67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FEE60D-281B-4627-B730-F40239C95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6800</CharactersWithSpaces>
  <SharedDoc>false</SharedDoc>
  <HLinks>
    <vt:vector size="6" baseType="variant">
      <vt:variant>
        <vt:i4>2555918</vt:i4>
      </vt:variant>
      <vt:variant>
        <vt:i4>0</vt:i4>
      </vt:variant>
      <vt:variant>
        <vt:i4>0</vt:i4>
      </vt:variant>
      <vt:variant>
        <vt:i4>5</vt:i4>
      </vt:variant>
      <vt:variant>
        <vt:lpwstr>mailto:Darren.garwood@gwent.police.uk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- 04/03/2021 14:33:00</dc:description>
  <cp:lastModifiedBy>Warren, Nicola</cp:lastModifiedBy>
  <cp:revision>2</cp:revision>
  <dcterms:created xsi:type="dcterms:W3CDTF">2025-05-29T14:22:00Z</dcterms:created>
  <dcterms:modified xsi:type="dcterms:W3CDTF">2025-05-29T14:22:00Z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ContentTypeId">
    <vt:lpwstr>0x0101009499AE902E7DBC4A90EABF4B87BB7D5D</vt:lpwstr>
  </property>
  <property fmtid="{D5CDD505-2E9C-101B-9397-08002B2CF9AE}" pid="9" name="MSIP_Label_f2acd28b-79a3-4a0f-b0ff-4b75658b1549_Enabled">
    <vt:lpwstr>true</vt:lpwstr>
  </property>
  <property fmtid="{D5CDD505-2E9C-101B-9397-08002B2CF9AE}" pid="10" name="MSIP_Label_f2acd28b-79a3-4a0f-b0ff-4b75658b1549_SetDate">
    <vt:lpwstr>2022-02-25T09:28:39Z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d03e0c39-17fa-40ae-b4e4-1fc7984a3f8f</vt:lpwstr>
  </property>
  <property fmtid="{D5CDD505-2E9C-101B-9397-08002B2CF9AE}" pid="15" name="MSIP_Label_f2acd28b-79a3-4a0f-b0ff-4b75658b1549_ContentBits">
    <vt:lpwstr>0</vt:lpwstr>
  </property>
</Properties>
</file>