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7227"/>
      </w:tblGrid>
      <w:tr w:rsidR="00320095" w:rsidRPr="00933DD9" w14:paraId="6136920D" w14:textId="77777777" w:rsidTr="00933DD9">
        <w:tc>
          <w:tcPr>
            <w:tcW w:w="9242" w:type="dxa"/>
            <w:gridSpan w:val="2"/>
            <w:shd w:val="clear" w:color="auto" w:fill="auto"/>
          </w:tcPr>
          <w:p w14:paraId="4B74F70D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1F923DCD" w14:textId="77777777" w:rsidTr="00D17406">
        <w:trPr>
          <w:trHeight w:val="735"/>
        </w:trPr>
        <w:tc>
          <w:tcPr>
            <w:tcW w:w="1809" w:type="dxa"/>
            <w:shd w:val="clear" w:color="auto" w:fill="auto"/>
          </w:tcPr>
          <w:p w14:paraId="058DDEE2" w14:textId="3637EAE5" w:rsidR="00D17406" w:rsidRPr="00933DD9" w:rsidRDefault="00FB1974" w:rsidP="00475E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PCCG-20</w:t>
            </w:r>
            <w:r w:rsidR="00807748">
              <w:rPr>
                <w:rFonts w:ascii="Arial" w:hAnsi="Arial" w:cs="Arial"/>
                <w:sz w:val="24"/>
                <w:szCs w:val="24"/>
              </w:rPr>
              <w:t>2</w:t>
            </w:r>
            <w:r w:rsidR="005C021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75EEB">
              <w:rPr>
                <w:rFonts w:ascii="Arial" w:hAnsi="Arial" w:cs="Arial"/>
                <w:sz w:val="24"/>
                <w:szCs w:val="24"/>
              </w:rPr>
              <w:t>0</w:t>
            </w:r>
            <w:r w:rsidR="005C021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433" w:type="dxa"/>
            <w:shd w:val="clear" w:color="auto" w:fill="auto"/>
          </w:tcPr>
          <w:p w14:paraId="2EAC35A1" w14:textId="77777777" w:rsidR="009669CD" w:rsidRPr="00933DD9" w:rsidRDefault="002166BD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  <w:r w:rsidR="009669CD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320095" w:rsidRPr="00933DD9" w14:paraId="75745AEE" w14:textId="77777777" w:rsidTr="00933DD9">
        <w:tc>
          <w:tcPr>
            <w:tcW w:w="1809" w:type="dxa"/>
            <w:shd w:val="clear" w:color="auto" w:fill="auto"/>
          </w:tcPr>
          <w:p w14:paraId="4859B2EB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433" w:type="dxa"/>
            <w:shd w:val="clear" w:color="auto" w:fill="auto"/>
          </w:tcPr>
          <w:p w14:paraId="3431CC38" w14:textId="0E9A0723" w:rsidR="00320095" w:rsidRPr="00933DD9" w:rsidRDefault="00EB4FE0" w:rsidP="00D86C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Annual </w:t>
            </w:r>
            <w:r w:rsidR="00021543">
              <w:rPr>
                <w:rFonts w:ascii="Arial" w:hAnsi="Arial" w:cs="Arial"/>
                <w:sz w:val="24"/>
                <w:szCs w:val="24"/>
              </w:rPr>
              <w:t>Review of Gwent Police’s Gifts and Hospitality</w:t>
            </w:r>
            <w:r w:rsidR="00286229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D86C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229">
              <w:rPr>
                <w:rFonts w:ascii="Arial" w:hAnsi="Arial" w:cs="Arial"/>
                <w:sz w:val="24"/>
                <w:szCs w:val="24"/>
              </w:rPr>
              <w:t xml:space="preserve">Business Interests </w:t>
            </w:r>
            <w:r w:rsidR="00B80256">
              <w:rPr>
                <w:rFonts w:ascii="Arial" w:hAnsi="Arial" w:cs="Arial"/>
                <w:sz w:val="24"/>
                <w:szCs w:val="24"/>
              </w:rPr>
              <w:t>20</w:t>
            </w:r>
            <w:r w:rsidR="00961BD2">
              <w:rPr>
                <w:rFonts w:ascii="Arial" w:hAnsi="Arial" w:cs="Arial"/>
                <w:sz w:val="24"/>
                <w:szCs w:val="24"/>
              </w:rPr>
              <w:t>2</w:t>
            </w:r>
            <w:r w:rsidR="005C0216">
              <w:rPr>
                <w:rFonts w:ascii="Arial" w:hAnsi="Arial" w:cs="Arial"/>
                <w:sz w:val="24"/>
                <w:szCs w:val="24"/>
              </w:rPr>
              <w:t>3</w:t>
            </w:r>
            <w:r w:rsidR="00D312AC">
              <w:rPr>
                <w:rFonts w:ascii="Arial" w:hAnsi="Arial" w:cs="Arial"/>
                <w:sz w:val="24"/>
                <w:szCs w:val="24"/>
              </w:rPr>
              <w:t>/</w:t>
            </w:r>
            <w:r w:rsidR="00807748">
              <w:rPr>
                <w:rFonts w:ascii="Arial" w:hAnsi="Arial" w:cs="Arial"/>
                <w:sz w:val="24"/>
                <w:szCs w:val="24"/>
              </w:rPr>
              <w:t>2</w:t>
            </w:r>
            <w:r w:rsidR="005C0216">
              <w:rPr>
                <w:rFonts w:ascii="Arial" w:hAnsi="Arial" w:cs="Arial"/>
                <w:sz w:val="24"/>
                <w:szCs w:val="24"/>
              </w:rPr>
              <w:t>4</w:t>
            </w:r>
            <w:r w:rsidR="003134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20095" w:rsidRPr="00933DD9" w14:paraId="319FD88C" w14:textId="77777777" w:rsidTr="00313403">
        <w:trPr>
          <w:trHeight w:val="886"/>
        </w:trPr>
        <w:tc>
          <w:tcPr>
            <w:tcW w:w="1809" w:type="dxa"/>
            <w:shd w:val="clear" w:color="auto" w:fill="auto"/>
          </w:tcPr>
          <w:p w14:paraId="0BD14D75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433" w:type="dxa"/>
            <w:shd w:val="clear" w:color="auto" w:fill="auto"/>
          </w:tcPr>
          <w:p w14:paraId="779531AE" w14:textId="13919D49" w:rsidR="002918B1" w:rsidRPr="00933DD9" w:rsidRDefault="00A23C5E" w:rsidP="00B45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record the decision of the Police and Crime Commissioner regarding </w:t>
            </w:r>
            <w:r w:rsidR="00313403">
              <w:rPr>
                <w:rFonts w:ascii="Arial" w:hAnsi="Arial" w:cs="Arial"/>
                <w:sz w:val="24"/>
                <w:szCs w:val="24"/>
              </w:rPr>
              <w:t xml:space="preserve">Gwent Police’s </w:t>
            </w:r>
            <w:r w:rsidR="00286229">
              <w:rPr>
                <w:rFonts w:ascii="Arial" w:hAnsi="Arial" w:cs="Arial"/>
                <w:sz w:val="24"/>
                <w:szCs w:val="24"/>
              </w:rPr>
              <w:t>g</w:t>
            </w:r>
            <w:r w:rsidR="00313403">
              <w:rPr>
                <w:rFonts w:ascii="Arial" w:hAnsi="Arial" w:cs="Arial"/>
                <w:sz w:val="24"/>
                <w:szCs w:val="24"/>
              </w:rPr>
              <w:t xml:space="preserve">ifts and </w:t>
            </w:r>
            <w:r w:rsidR="00286229">
              <w:rPr>
                <w:rFonts w:ascii="Arial" w:hAnsi="Arial" w:cs="Arial"/>
                <w:sz w:val="24"/>
                <w:szCs w:val="24"/>
              </w:rPr>
              <w:t>h</w:t>
            </w:r>
            <w:r w:rsidR="00313403">
              <w:rPr>
                <w:rFonts w:ascii="Arial" w:hAnsi="Arial" w:cs="Arial"/>
                <w:sz w:val="24"/>
                <w:szCs w:val="24"/>
              </w:rPr>
              <w:t>ospitality</w:t>
            </w:r>
            <w:r w:rsidR="00286229">
              <w:rPr>
                <w:rFonts w:ascii="Arial" w:hAnsi="Arial" w:cs="Arial"/>
                <w:sz w:val="24"/>
                <w:szCs w:val="24"/>
              </w:rPr>
              <w:t xml:space="preserve"> and business interests </w:t>
            </w:r>
            <w:r w:rsidR="00313403">
              <w:rPr>
                <w:rFonts w:ascii="Arial" w:hAnsi="Arial" w:cs="Arial"/>
                <w:sz w:val="24"/>
                <w:szCs w:val="24"/>
              </w:rPr>
              <w:t>for 20</w:t>
            </w:r>
            <w:r w:rsidR="00961BD2">
              <w:rPr>
                <w:rFonts w:ascii="Arial" w:hAnsi="Arial" w:cs="Arial"/>
                <w:sz w:val="24"/>
                <w:szCs w:val="24"/>
              </w:rPr>
              <w:t>2</w:t>
            </w:r>
            <w:r w:rsidR="005C0216">
              <w:rPr>
                <w:rFonts w:ascii="Arial" w:hAnsi="Arial" w:cs="Arial"/>
                <w:sz w:val="24"/>
                <w:szCs w:val="24"/>
              </w:rPr>
              <w:t>3</w:t>
            </w:r>
            <w:r w:rsidR="00D312AC">
              <w:rPr>
                <w:rFonts w:ascii="Arial" w:hAnsi="Arial" w:cs="Arial"/>
                <w:sz w:val="24"/>
                <w:szCs w:val="24"/>
              </w:rPr>
              <w:t>/</w:t>
            </w:r>
            <w:r w:rsidR="00807748">
              <w:rPr>
                <w:rFonts w:ascii="Arial" w:hAnsi="Arial" w:cs="Arial"/>
                <w:sz w:val="24"/>
                <w:szCs w:val="24"/>
              </w:rPr>
              <w:t>2</w:t>
            </w:r>
            <w:r w:rsidR="005C0216">
              <w:rPr>
                <w:rFonts w:ascii="Arial" w:hAnsi="Arial" w:cs="Arial"/>
                <w:sz w:val="24"/>
                <w:szCs w:val="24"/>
              </w:rPr>
              <w:t>4</w:t>
            </w:r>
            <w:r w:rsidR="003134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C4341E8" w14:textId="77777777" w:rsidR="00D8752E" w:rsidRPr="00D8752E" w:rsidRDefault="004D19F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8752E"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D8752E" w:rsidRPr="00933DD9" w14:paraId="780575E5" w14:textId="77777777" w:rsidTr="00542CB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B445353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5C2A" w14:textId="641AC7C0" w:rsidR="00D8752E" w:rsidRPr="00046D0A" w:rsidRDefault="008720C0" w:rsidP="00D312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13403">
              <w:rPr>
                <w:rFonts w:ascii="Arial" w:hAnsi="Arial" w:cs="Arial"/>
                <w:sz w:val="24"/>
                <w:szCs w:val="24"/>
              </w:rPr>
              <w:t>he Office of the Police and Crime Commissioner (OPCC) has underta</w:t>
            </w:r>
            <w:r w:rsidR="00286229">
              <w:rPr>
                <w:rFonts w:ascii="Arial" w:hAnsi="Arial" w:cs="Arial"/>
                <w:sz w:val="24"/>
                <w:szCs w:val="24"/>
              </w:rPr>
              <w:t xml:space="preserve">ken a review of Gwent Police’s gifts and </w:t>
            </w:r>
            <w:proofErr w:type="gramStart"/>
            <w:r w:rsidR="00286229">
              <w:rPr>
                <w:rFonts w:ascii="Arial" w:hAnsi="Arial" w:cs="Arial"/>
                <w:sz w:val="24"/>
                <w:szCs w:val="24"/>
              </w:rPr>
              <w:t>h</w:t>
            </w:r>
            <w:r w:rsidR="00313403">
              <w:rPr>
                <w:rFonts w:ascii="Arial" w:hAnsi="Arial" w:cs="Arial"/>
                <w:sz w:val="24"/>
                <w:szCs w:val="24"/>
              </w:rPr>
              <w:t>ospitality</w:t>
            </w:r>
            <w:proofErr w:type="gramEnd"/>
            <w:r w:rsidR="003134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229">
              <w:rPr>
                <w:rFonts w:ascii="Arial" w:hAnsi="Arial" w:cs="Arial"/>
                <w:sz w:val="24"/>
                <w:szCs w:val="24"/>
              </w:rPr>
              <w:t>and business interests</w:t>
            </w:r>
            <w:r w:rsidR="00807748">
              <w:rPr>
                <w:rFonts w:ascii="Arial" w:hAnsi="Arial" w:cs="Arial"/>
                <w:sz w:val="24"/>
                <w:szCs w:val="24"/>
              </w:rPr>
              <w:t xml:space="preserve"> registers along with compliance against policy</w:t>
            </w:r>
            <w:r w:rsidR="00D312AC">
              <w:rPr>
                <w:rFonts w:ascii="Arial" w:hAnsi="Arial" w:cs="Arial"/>
                <w:sz w:val="24"/>
                <w:szCs w:val="24"/>
              </w:rPr>
              <w:t xml:space="preserve"> for 20</w:t>
            </w:r>
            <w:r w:rsidR="00961BD2">
              <w:rPr>
                <w:rFonts w:ascii="Arial" w:hAnsi="Arial" w:cs="Arial"/>
                <w:sz w:val="24"/>
                <w:szCs w:val="24"/>
              </w:rPr>
              <w:t>2</w:t>
            </w:r>
            <w:r w:rsidR="005C0216">
              <w:rPr>
                <w:rFonts w:ascii="Arial" w:hAnsi="Arial" w:cs="Arial"/>
                <w:sz w:val="24"/>
                <w:szCs w:val="24"/>
              </w:rPr>
              <w:t>3</w:t>
            </w:r>
            <w:r w:rsidR="00B45624">
              <w:rPr>
                <w:rFonts w:ascii="Arial" w:hAnsi="Arial" w:cs="Arial"/>
                <w:sz w:val="24"/>
                <w:szCs w:val="24"/>
              </w:rPr>
              <w:t>/</w:t>
            </w:r>
            <w:r w:rsidR="00807748">
              <w:rPr>
                <w:rFonts w:ascii="Arial" w:hAnsi="Arial" w:cs="Arial"/>
                <w:sz w:val="24"/>
                <w:szCs w:val="24"/>
              </w:rPr>
              <w:t>2</w:t>
            </w:r>
            <w:r w:rsidR="005C0216">
              <w:rPr>
                <w:rFonts w:ascii="Arial" w:hAnsi="Arial" w:cs="Arial"/>
                <w:sz w:val="24"/>
                <w:szCs w:val="24"/>
              </w:rPr>
              <w:t>4</w:t>
            </w:r>
            <w:r w:rsidR="00313403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8752E" w:rsidRPr="00933DD9" w14:paraId="1E0CBF5B" w14:textId="77777777" w:rsidTr="003A0D05">
        <w:trPr>
          <w:trHeight w:val="42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488CCB4" w14:textId="77777777" w:rsidR="00D8752E" w:rsidRPr="00933DD9" w:rsidRDefault="003A0D0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C845" w14:textId="0CADE3D1" w:rsidR="00542CB1" w:rsidRPr="00046D0A" w:rsidRDefault="008720C0" w:rsidP="00D312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register</w:t>
            </w:r>
            <w:r w:rsidR="00286229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6229">
              <w:rPr>
                <w:rFonts w:ascii="Arial" w:hAnsi="Arial" w:cs="Arial"/>
                <w:sz w:val="24"/>
                <w:szCs w:val="24"/>
              </w:rPr>
              <w:t>are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maintained as normal business practice by the Professional Standards Department</w:t>
            </w:r>
            <w:r w:rsidR="00EB4FE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286229">
              <w:rPr>
                <w:rFonts w:ascii="Arial" w:hAnsi="Arial" w:cs="Arial"/>
                <w:sz w:val="24"/>
                <w:szCs w:val="24"/>
              </w:rPr>
              <w:t>are</w:t>
            </w:r>
            <w:r w:rsidR="00EB4FE0">
              <w:rPr>
                <w:rFonts w:ascii="Arial" w:hAnsi="Arial" w:cs="Arial"/>
                <w:sz w:val="24"/>
                <w:szCs w:val="24"/>
              </w:rPr>
              <w:t xml:space="preserve"> subject to audit by H</w:t>
            </w:r>
            <w:r w:rsidR="007A0270">
              <w:rPr>
                <w:rFonts w:ascii="Arial" w:hAnsi="Arial" w:cs="Arial"/>
                <w:sz w:val="24"/>
                <w:szCs w:val="24"/>
              </w:rPr>
              <w:t>is</w:t>
            </w:r>
            <w:r w:rsidR="00EB4FE0">
              <w:rPr>
                <w:rFonts w:ascii="Arial" w:hAnsi="Arial" w:cs="Arial"/>
                <w:sz w:val="24"/>
                <w:szCs w:val="24"/>
              </w:rPr>
              <w:t xml:space="preserve"> Majesty’s Inspectorate of Constabulary</w:t>
            </w:r>
            <w:r w:rsidR="00C02C11">
              <w:rPr>
                <w:rFonts w:ascii="Arial" w:hAnsi="Arial" w:cs="Arial"/>
                <w:sz w:val="24"/>
                <w:szCs w:val="24"/>
              </w:rPr>
              <w:t xml:space="preserve"> and Fire &amp; Rescue Services</w:t>
            </w:r>
            <w:r w:rsidR="00EB4FE0">
              <w:rPr>
                <w:rFonts w:ascii="Arial" w:hAnsi="Arial" w:cs="Arial"/>
                <w:sz w:val="24"/>
                <w:szCs w:val="24"/>
              </w:rPr>
              <w:t xml:space="preserve"> (HMIC</w:t>
            </w:r>
            <w:r w:rsidR="00C02C11">
              <w:rPr>
                <w:rFonts w:ascii="Arial" w:hAnsi="Arial" w:cs="Arial"/>
                <w:sz w:val="24"/>
                <w:szCs w:val="24"/>
              </w:rPr>
              <w:t>FRS</w:t>
            </w:r>
            <w:r w:rsidR="00EB4FE0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BC4F1C" w:rsidRPr="00933DD9" w14:paraId="3873E2FD" w14:textId="77777777" w:rsidTr="003A0D05">
        <w:trPr>
          <w:trHeight w:val="42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A15DA0D" w14:textId="77777777" w:rsidR="00BC4F1C" w:rsidRDefault="00BC4F1C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B1650" w14:textId="2107463A" w:rsidR="00BC4F1C" w:rsidRDefault="00BC4F1C" w:rsidP="00BC4F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Undertaking this review provides assurance that</w:t>
            </w:r>
            <w:r w:rsidR="00961BD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Gwent Police </w:t>
            </w:r>
            <w:r w:rsidR="00807748">
              <w:rPr>
                <w:rFonts w:ascii="Arial" w:hAnsi="Arial" w:cs="Arial"/>
                <w:sz w:val="24"/>
                <w:szCs w:val="24"/>
              </w:rPr>
              <w:t>compl</w:t>
            </w:r>
            <w:r w:rsidR="00961BD2">
              <w:rPr>
                <w:rFonts w:ascii="Arial" w:hAnsi="Arial" w:cs="Arial"/>
                <w:sz w:val="24"/>
                <w:szCs w:val="24"/>
              </w:rPr>
              <w:t>y</w:t>
            </w:r>
            <w:r w:rsidR="00807748">
              <w:rPr>
                <w:rFonts w:ascii="Arial" w:hAnsi="Arial" w:cs="Arial"/>
                <w:sz w:val="24"/>
                <w:szCs w:val="24"/>
              </w:rPr>
              <w:t xml:space="preserve"> with its policies</w:t>
            </w:r>
            <w:r w:rsidR="00961BD2">
              <w:rPr>
                <w:rFonts w:ascii="Arial" w:hAnsi="Arial" w:cs="Arial"/>
                <w:sz w:val="24"/>
                <w:szCs w:val="24"/>
              </w:rPr>
              <w:t xml:space="preserve"> for both gifts and hospitality and business interests</w:t>
            </w:r>
            <w:r w:rsidR="004B0DD9">
              <w:rPr>
                <w:rFonts w:ascii="Arial" w:hAnsi="Arial" w:cs="Arial"/>
                <w:sz w:val="24"/>
                <w:szCs w:val="24"/>
              </w:rPr>
              <w:t xml:space="preserve"> and allows the OPCC to query and request clarity on approved or denied requests</w:t>
            </w:r>
            <w:r w:rsidR="00961BD2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C4F1C" w:rsidRPr="00933DD9" w14:paraId="2934C23C" w14:textId="77777777" w:rsidTr="003A0D05">
        <w:trPr>
          <w:trHeight w:val="424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0D7DB47" w14:textId="77777777" w:rsidR="00BC4F1C" w:rsidRDefault="00BC4F1C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404B2" w14:textId="7FB6DF15" w:rsidR="00BC4F1C" w:rsidRDefault="00BC4F1C" w:rsidP="00BC4F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business interests declared by the Chief Constable </w:t>
            </w:r>
            <w:r w:rsidR="00241549">
              <w:rPr>
                <w:rFonts w:ascii="Arial" w:hAnsi="Arial" w:cs="Arial"/>
                <w:sz w:val="24"/>
                <w:szCs w:val="24"/>
              </w:rPr>
              <w:t>were</w:t>
            </w:r>
            <w:r w:rsidR="00243AC3">
              <w:rPr>
                <w:rFonts w:ascii="Arial" w:hAnsi="Arial" w:cs="Arial"/>
                <w:sz w:val="24"/>
                <w:szCs w:val="24"/>
              </w:rPr>
              <w:t xml:space="preserve"> approved by the Chief Executive with oversight provided by the Police and Crime Commissioner (PCC).  They are</w:t>
            </w:r>
            <w:r>
              <w:rPr>
                <w:rFonts w:ascii="Arial" w:hAnsi="Arial" w:cs="Arial"/>
                <w:sz w:val="24"/>
                <w:szCs w:val="24"/>
              </w:rPr>
              <w:t xml:space="preserve"> held on the OPCC business interests register and are reviewed on an annual basis.  </w:t>
            </w:r>
          </w:p>
        </w:tc>
      </w:tr>
      <w:tr w:rsidR="00D8752E" w:rsidRPr="00933DD9" w14:paraId="5F5E9FD7" w14:textId="77777777" w:rsidTr="00542CB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80C39A8" w14:textId="77777777" w:rsidR="00D8752E" w:rsidRPr="00933DD9" w:rsidRDefault="00BC4F1C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D678F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D546" w14:textId="15646E00" w:rsidR="002A2A8C" w:rsidRPr="00046D0A" w:rsidRDefault="00BC4F1C" w:rsidP="00D312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gift or hospitality </w:t>
            </w:r>
            <w:r w:rsidR="0041427B">
              <w:rPr>
                <w:rFonts w:ascii="Arial" w:hAnsi="Arial" w:cs="Arial"/>
                <w:sz w:val="24"/>
                <w:szCs w:val="24"/>
              </w:rPr>
              <w:t xml:space="preserve">accepted </w:t>
            </w:r>
            <w:r w:rsidR="00D312AC">
              <w:rPr>
                <w:rFonts w:ascii="Arial" w:hAnsi="Arial" w:cs="Arial"/>
                <w:sz w:val="24"/>
                <w:szCs w:val="24"/>
              </w:rPr>
              <w:t>or declined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the Chief Constable is recorded on the force gifts and hospit</w:t>
            </w:r>
            <w:r w:rsidR="00C02C11">
              <w:rPr>
                <w:rFonts w:ascii="Arial" w:hAnsi="Arial" w:cs="Arial"/>
                <w:sz w:val="24"/>
                <w:szCs w:val="24"/>
              </w:rPr>
              <w:t>ality register held by the</w:t>
            </w:r>
            <w:r>
              <w:rPr>
                <w:rFonts w:ascii="Arial" w:hAnsi="Arial" w:cs="Arial"/>
                <w:sz w:val="24"/>
                <w:szCs w:val="24"/>
              </w:rPr>
              <w:t xml:space="preserve"> Professional Standards Department</w:t>
            </w:r>
            <w:r w:rsidR="006C7B0D">
              <w:rPr>
                <w:rFonts w:ascii="Arial" w:hAnsi="Arial" w:cs="Arial"/>
                <w:sz w:val="24"/>
                <w:szCs w:val="24"/>
              </w:rPr>
              <w:t xml:space="preserve"> (PSD)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A4611">
              <w:rPr>
                <w:rFonts w:ascii="Arial" w:hAnsi="Arial" w:cs="Arial"/>
                <w:sz w:val="24"/>
                <w:szCs w:val="24"/>
              </w:rPr>
              <w:t xml:space="preserve">  All gifts and hospitality forms are approved by the </w:t>
            </w:r>
            <w:r w:rsidR="00243AC3">
              <w:rPr>
                <w:rFonts w:ascii="Arial" w:hAnsi="Arial" w:cs="Arial"/>
                <w:sz w:val="24"/>
                <w:szCs w:val="24"/>
              </w:rPr>
              <w:t>Chief Executive or PCC</w:t>
            </w:r>
            <w:r w:rsidR="00DA4611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C02C1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02C11" w:rsidRPr="00933DD9" w14:paraId="4E9DA320" w14:textId="77777777" w:rsidTr="00542CB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C26EAE6" w14:textId="77777777" w:rsidR="00C02C11" w:rsidRDefault="004A03E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E53B2" w14:textId="2EBDA880" w:rsidR="00C02C11" w:rsidRPr="00243AC3" w:rsidRDefault="00C02C11" w:rsidP="00C02C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3AC3">
              <w:rPr>
                <w:rFonts w:ascii="Arial" w:hAnsi="Arial" w:cs="Arial"/>
                <w:sz w:val="24"/>
                <w:szCs w:val="24"/>
              </w:rPr>
              <w:t xml:space="preserve">Whilst undertaking the review of both registers </w:t>
            </w:r>
            <w:proofErr w:type="gramStart"/>
            <w:r w:rsidRPr="00243AC3">
              <w:rPr>
                <w:rFonts w:ascii="Arial" w:hAnsi="Arial" w:cs="Arial"/>
                <w:sz w:val="24"/>
                <w:szCs w:val="24"/>
              </w:rPr>
              <w:t>a number of</w:t>
            </w:r>
            <w:proofErr w:type="gramEnd"/>
            <w:r w:rsidRPr="00243AC3">
              <w:rPr>
                <w:rFonts w:ascii="Arial" w:hAnsi="Arial" w:cs="Arial"/>
                <w:sz w:val="24"/>
                <w:szCs w:val="24"/>
              </w:rPr>
              <w:t xml:space="preserve"> queries</w:t>
            </w:r>
            <w:r w:rsidR="006C7B0D" w:rsidRPr="00243AC3">
              <w:rPr>
                <w:rFonts w:ascii="Arial" w:hAnsi="Arial" w:cs="Arial"/>
                <w:sz w:val="24"/>
                <w:szCs w:val="24"/>
              </w:rPr>
              <w:t>/requests</w:t>
            </w:r>
            <w:r w:rsidRPr="00243AC3">
              <w:rPr>
                <w:rFonts w:ascii="Arial" w:hAnsi="Arial" w:cs="Arial"/>
                <w:sz w:val="24"/>
                <w:szCs w:val="24"/>
              </w:rPr>
              <w:t xml:space="preserve"> were raised</w:t>
            </w:r>
            <w:r w:rsidR="003A41B2" w:rsidRPr="00243AC3">
              <w:rPr>
                <w:rFonts w:ascii="Arial" w:hAnsi="Arial" w:cs="Arial"/>
                <w:sz w:val="24"/>
                <w:szCs w:val="24"/>
              </w:rPr>
              <w:t>, example</w:t>
            </w:r>
            <w:r w:rsidR="00B05D01" w:rsidRPr="00243AC3">
              <w:rPr>
                <w:rFonts w:ascii="Arial" w:hAnsi="Arial" w:cs="Arial"/>
                <w:sz w:val="24"/>
                <w:szCs w:val="24"/>
              </w:rPr>
              <w:t>s</w:t>
            </w:r>
            <w:r w:rsidR="003A41B2" w:rsidRPr="00243A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140F" w:rsidRPr="00243AC3">
              <w:rPr>
                <w:rFonts w:ascii="Arial" w:hAnsi="Arial" w:cs="Arial"/>
                <w:sz w:val="24"/>
                <w:szCs w:val="24"/>
              </w:rPr>
              <w:t>of the areas raised</w:t>
            </w:r>
            <w:r w:rsidR="00B05D01" w:rsidRPr="00243AC3">
              <w:rPr>
                <w:rFonts w:ascii="Arial" w:hAnsi="Arial" w:cs="Arial"/>
                <w:sz w:val="24"/>
                <w:szCs w:val="24"/>
              </w:rPr>
              <w:t xml:space="preserve"> and the response from PSD</w:t>
            </w:r>
            <w:r w:rsidR="0061140F" w:rsidRPr="00243AC3">
              <w:rPr>
                <w:rFonts w:ascii="Arial" w:hAnsi="Arial" w:cs="Arial"/>
                <w:sz w:val="24"/>
                <w:szCs w:val="24"/>
              </w:rPr>
              <w:t xml:space="preserve"> are included below</w:t>
            </w:r>
            <w:r w:rsidRPr="00243AC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0638F4" w14:textId="07424CAC" w:rsidR="004C455E" w:rsidRPr="004C455E" w:rsidRDefault="00D312AC" w:rsidP="00C02C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455E">
              <w:rPr>
                <w:rFonts w:ascii="Arial" w:hAnsi="Arial" w:cs="Arial"/>
                <w:sz w:val="24"/>
                <w:szCs w:val="24"/>
              </w:rPr>
              <w:t>In re</w:t>
            </w:r>
            <w:r w:rsidR="002F27C2" w:rsidRPr="004C455E">
              <w:rPr>
                <w:rFonts w:ascii="Arial" w:hAnsi="Arial" w:cs="Arial"/>
                <w:sz w:val="24"/>
                <w:szCs w:val="24"/>
              </w:rPr>
              <w:t>lation to the business interest</w:t>
            </w:r>
            <w:r w:rsidR="006C7B0D" w:rsidRPr="004C455E">
              <w:rPr>
                <w:rFonts w:ascii="Arial" w:hAnsi="Arial" w:cs="Arial"/>
                <w:sz w:val="24"/>
                <w:szCs w:val="24"/>
              </w:rPr>
              <w:t>s</w:t>
            </w:r>
            <w:r w:rsidRPr="004C455E">
              <w:rPr>
                <w:rFonts w:ascii="Arial" w:hAnsi="Arial" w:cs="Arial"/>
                <w:sz w:val="24"/>
                <w:szCs w:val="24"/>
              </w:rPr>
              <w:t xml:space="preserve"> register</w:t>
            </w:r>
            <w:r w:rsidR="006C7B0D" w:rsidRPr="004C455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F06BC" w:rsidRPr="004C455E">
              <w:rPr>
                <w:rFonts w:ascii="Arial" w:hAnsi="Arial" w:cs="Arial"/>
                <w:sz w:val="24"/>
                <w:szCs w:val="24"/>
              </w:rPr>
              <w:t xml:space="preserve">we queried </w:t>
            </w:r>
            <w:r w:rsidR="00243AC3" w:rsidRPr="004C455E">
              <w:rPr>
                <w:rFonts w:ascii="Arial" w:hAnsi="Arial" w:cs="Arial"/>
                <w:sz w:val="24"/>
                <w:szCs w:val="24"/>
              </w:rPr>
              <w:t xml:space="preserve">the process followed when appointing a consultant to undertake work and </w:t>
            </w:r>
            <w:r w:rsidR="004C455E" w:rsidRPr="004C455E">
              <w:rPr>
                <w:rFonts w:ascii="Arial" w:hAnsi="Arial" w:cs="Arial"/>
                <w:sz w:val="24"/>
                <w:szCs w:val="24"/>
              </w:rPr>
              <w:t xml:space="preserve">how the force identified where there was a conflict of interest.  We were advised that </w:t>
            </w:r>
            <w:r w:rsidR="004C455E">
              <w:rPr>
                <w:rFonts w:ascii="Arial" w:hAnsi="Arial" w:cs="Arial"/>
                <w:sz w:val="24"/>
                <w:szCs w:val="24"/>
              </w:rPr>
              <w:t xml:space="preserve">terms and conditions </w:t>
            </w:r>
            <w:r w:rsidR="004C455E" w:rsidRPr="004C455E">
              <w:rPr>
                <w:rFonts w:ascii="Arial" w:hAnsi="Arial" w:cs="Arial"/>
                <w:sz w:val="24"/>
                <w:szCs w:val="24"/>
              </w:rPr>
              <w:t>had been established with procurement that ensured relevant questions were asked prior to appointment.</w:t>
            </w:r>
          </w:p>
          <w:p w14:paraId="76DE1ED3" w14:textId="7EEFEB08" w:rsidR="004C455E" w:rsidRPr="004C455E" w:rsidRDefault="004C455E" w:rsidP="00C02C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455E">
              <w:rPr>
                <w:rFonts w:ascii="Arial" w:hAnsi="Arial" w:cs="Arial"/>
                <w:sz w:val="24"/>
                <w:szCs w:val="24"/>
              </w:rPr>
              <w:lastRenderedPageBreak/>
              <w:t>We also queried the number of business interests refused, the number of appeals received</w:t>
            </w:r>
            <w:r w:rsidR="00CA2981">
              <w:rPr>
                <w:rFonts w:ascii="Arial" w:hAnsi="Arial" w:cs="Arial"/>
                <w:sz w:val="24"/>
                <w:szCs w:val="24"/>
              </w:rPr>
              <w:t>,</w:t>
            </w:r>
            <w:r w:rsidRPr="004C455E">
              <w:rPr>
                <w:rFonts w:ascii="Arial" w:hAnsi="Arial" w:cs="Arial"/>
                <w:sz w:val="24"/>
                <w:szCs w:val="24"/>
              </w:rPr>
              <w:t xml:space="preserve"> as well as requesting assurance that the process for line managers to monitor business interests had been implemented. </w:t>
            </w:r>
          </w:p>
          <w:p w14:paraId="2FE49762" w14:textId="59EE7C26" w:rsidR="00D84DAC" w:rsidRPr="00D84DAC" w:rsidRDefault="00C37CAB" w:rsidP="006C7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4DAC">
              <w:rPr>
                <w:rFonts w:ascii="Arial" w:hAnsi="Arial" w:cs="Arial"/>
                <w:sz w:val="24"/>
                <w:szCs w:val="24"/>
              </w:rPr>
              <w:t>On review of the gifts and hospitality register, it was noted that there</w:t>
            </w:r>
            <w:r w:rsidR="00CA2981" w:rsidRPr="00D84DAC">
              <w:rPr>
                <w:rFonts w:ascii="Arial" w:hAnsi="Arial" w:cs="Arial"/>
                <w:sz w:val="24"/>
                <w:szCs w:val="24"/>
              </w:rPr>
              <w:t xml:space="preserve"> were some quarters of the financial year w</w:t>
            </w:r>
            <w:r w:rsidR="00D84DAC">
              <w:rPr>
                <w:rFonts w:ascii="Arial" w:hAnsi="Arial" w:cs="Arial"/>
                <w:sz w:val="24"/>
                <w:szCs w:val="24"/>
              </w:rPr>
              <w:t>h</w:t>
            </w:r>
            <w:r w:rsidR="00CA2981" w:rsidRPr="00D84DAC">
              <w:rPr>
                <w:rFonts w:ascii="Arial" w:hAnsi="Arial" w:cs="Arial"/>
                <w:sz w:val="24"/>
                <w:szCs w:val="24"/>
              </w:rPr>
              <w:t xml:space="preserve">ere entries were </w:t>
            </w:r>
            <w:r w:rsidR="00D84DAC" w:rsidRPr="00D84DAC">
              <w:rPr>
                <w:rFonts w:ascii="Arial" w:hAnsi="Arial" w:cs="Arial"/>
                <w:sz w:val="24"/>
                <w:szCs w:val="24"/>
              </w:rPr>
              <w:t>low, and we queried how often staff were reminded to submit them</w:t>
            </w:r>
            <w:r w:rsidR="00CA2981" w:rsidRPr="00D84DAC">
              <w:rPr>
                <w:rFonts w:ascii="Arial" w:hAnsi="Arial" w:cs="Arial"/>
                <w:sz w:val="24"/>
                <w:szCs w:val="24"/>
              </w:rPr>
              <w:t>.</w:t>
            </w:r>
            <w:r w:rsidRPr="00D84DAC">
              <w:rPr>
                <w:rFonts w:ascii="Arial" w:hAnsi="Arial" w:cs="Arial"/>
                <w:sz w:val="24"/>
                <w:szCs w:val="24"/>
              </w:rPr>
              <w:t xml:space="preserve"> PSD informed us that </w:t>
            </w:r>
            <w:r w:rsidR="00D84DAC" w:rsidRPr="00D84DAC">
              <w:rPr>
                <w:rFonts w:ascii="Arial" w:hAnsi="Arial" w:cs="Arial"/>
                <w:sz w:val="24"/>
                <w:szCs w:val="24"/>
              </w:rPr>
              <w:t>there was a question contained in the six-monthly personal development review process as well as information being provided at various sessions held during the year.</w:t>
            </w:r>
          </w:p>
          <w:p w14:paraId="38C73DE1" w14:textId="15EF649C" w:rsidR="0041427B" w:rsidRPr="005C0216" w:rsidRDefault="00C37CAB" w:rsidP="00C37CA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D84DAC">
              <w:rPr>
                <w:rFonts w:ascii="Arial" w:hAnsi="Arial" w:cs="Arial"/>
                <w:sz w:val="24"/>
                <w:szCs w:val="24"/>
              </w:rPr>
              <w:t xml:space="preserve">It was also noted that there </w:t>
            </w:r>
            <w:r w:rsidR="00D84DAC" w:rsidRPr="00D84DAC">
              <w:rPr>
                <w:rFonts w:ascii="Arial" w:hAnsi="Arial" w:cs="Arial"/>
                <w:sz w:val="24"/>
                <w:szCs w:val="24"/>
              </w:rPr>
              <w:t xml:space="preserve">continued to be </w:t>
            </w:r>
            <w:r w:rsidRPr="00D84DAC">
              <w:rPr>
                <w:rFonts w:ascii="Arial" w:hAnsi="Arial" w:cs="Arial"/>
                <w:sz w:val="24"/>
                <w:szCs w:val="24"/>
              </w:rPr>
              <w:t xml:space="preserve">minimal entries on the gift and hospitality register for chief officers.  This was </w:t>
            </w:r>
            <w:r w:rsidR="00D84DAC" w:rsidRPr="00D84DAC">
              <w:rPr>
                <w:rFonts w:ascii="Arial" w:hAnsi="Arial" w:cs="Arial"/>
                <w:sz w:val="24"/>
                <w:szCs w:val="24"/>
              </w:rPr>
              <w:t>again queried,</w:t>
            </w:r>
            <w:r w:rsidRPr="00D84DAC">
              <w:rPr>
                <w:rFonts w:ascii="Arial" w:hAnsi="Arial" w:cs="Arial"/>
                <w:sz w:val="24"/>
                <w:szCs w:val="24"/>
              </w:rPr>
              <w:t xml:space="preserve"> and we were informed that</w:t>
            </w:r>
            <w:r w:rsidR="00D84DAC" w:rsidRPr="00D84DAC">
              <w:rPr>
                <w:rFonts w:ascii="Arial" w:hAnsi="Arial" w:cs="Arial"/>
                <w:sz w:val="24"/>
                <w:szCs w:val="24"/>
              </w:rPr>
              <w:t xml:space="preserve"> a new process would be established with the </w:t>
            </w:r>
            <w:r w:rsidR="00CC7DC1" w:rsidRPr="00D84DAC">
              <w:rPr>
                <w:rFonts w:ascii="Arial" w:hAnsi="Arial" w:cs="Arial"/>
                <w:sz w:val="24"/>
                <w:szCs w:val="24"/>
              </w:rPr>
              <w:t>Chief Officer Executive Support Team (COEST)</w:t>
            </w:r>
            <w:r w:rsidR="00D84DAC" w:rsidRPr="00D84DAC">
              <w:rPr>
                <w:rFonts w:ascii="Arial" w:hAnsi="Arial" w:cs="Arial"/>
                <w:sz w:val="24"/>
                <w:szCs w:val="24"/>
              </w:rPr>
              <w:t xml:space="preserve"> to ensure they were provided in a timely manner to PSD</w:t>
            </w:r>
            <w:r w:rsidRPr="00D84DAC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</w:tc>
      </w:tr>
      <w:tr w:rsidR="00D8752E" w:rsidRPr="00933DD9" w14:paraId="30C8BA4C" w14:textId="77777777" w:rsidTr="00542CB1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087E562" w14:textId="77777777" w:rsidR="00D8752E" w:rsidRPr="00933DD9" w:rsidRDefault="00AC7104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  <w:r w:rsidR="00F22A1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A383" w14:textId="46E5CE77" w:rsidR="004D12E8" w:rsidRPr="00046D0A" w:rsidRDefault="004D19FD" w:rsidP="006C7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1B2">
              <w:rPr>
                <w:rFonts w:ascii="Arial" w:hAnsi="Arial" w:cs="Arial"/>
                <w:sz w:val="24"/>
                <w:szCs w:val="24"/>
              </w:rPr>
              <w:t>As a result of the review</w:t>
            </w:r>
            <w:r w:rsidR="00286229" w:rsidRPr="003A41B2">
              <w:rPr>
                <w:rFonts w:ascii="Arial" w:hAnsi="Arial" w:cs="Arial"/>
                <w:sz w:val="24"/>
                <w:szCs w:val="24"/>
              </w:rPr>
              <w:t xml:space="preserve">, I am satisfied that all declarations by officers and staff have been made </w:t>
            </w:r>
            <w:r w:rsidRPr="003A41B2">
              <w:rPr>
                <w:rFonts w:ascii="Arial" w:hAnsi="Arial" w:cs="Arial"/>
                <w:sz w:val="24"/>
                <w:szCs w:val="24"/>
              </w:rPr>
              <w:t>with</w:t>
            </w:r>
            <w:r w:rsidR="00286229" w:rsidRPr="003A41B2">
              <w:rPr>
                <w:rFonts w:ascii="Arial" w:hAnsi="Arial" w:cs="Arial"/>
                <w:sz w:val="24"/>
                <w:szCs w:val="24"/>
              </w:rPr>
              <w:t>in</w:t>
            </w:r>
            <w:r w:rsidRPr="003A41B2">
              <w:rPr>
                <w:rFonts w:ascii="Arial" w:hAnsi="Arial" w:cs="Arial"/>
                <w:sz w:val="24"/>
                <w:szCs w:val="24"/>
              </w:rPr>
              <w:t xml:space="preserve"> the boundaries of acceptability in</w:t>
            </w:r>
            <w:r w:rsidR="00286229" w:rsidRPr="003A41B2">
              <w:rPr>
                <w:rFonts w:ascii="Arial" w:hAnsi="Arial" w:cs="Arial"/>
                <w:sz w:val="24"/>
                <w:szCs w:val="24"/>
              </w:rPr>
              <w:t xml:space="preserve"> accordance with the relevant policies and procedures.   </w:t>
            </w:r>
            <w:r w:rsidR="008720C0" w:rsidRPr="003A41B2">
              <w:rPr>
                <w:rFonts w:ascii="Arial" w:hAnsi="Arial" w:cs="Arial"/>
                <w:sz w:val="24"/>
                <w:szCs w:val="24"/>
              </w:rPr>
              <w:t xml:space="preserve">Any comments or queries arising from the OPCC review have been provided to the </w:t>
            </w:r>
            <w:r w:rsidR="006C7B0D" w:rsidRPr="003A41B2">
              <w:rPr>
                <w:rFonts w:ascii="Arial" w:hAnsi="Arial" w:cs="Arial"/>
                <w:sz w:val="24"/>
                <w:szCs w:val="24"/>
              </w:rPr>
              <w:t>PSD</w:t>
            </w:r>
            <w:r w:rsidR="00C37CAB">
              <w:rPr>
                <w:rFonts w:ascii="Arial" w:hAnsi="Arial" w:cs="Arial"/>
                <w:sz w:val="24"/>
                <w:szCs w:val="24"/>
              </w:rPr>
              <w:t xml:space="preserve"> and a response received</w:t>
            </w:r>
            <w:r w:rsidR="003A41B2" w:rsidRPr="003A41B2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AC7104" w:rsidRPr="003A41B2">
              <w:rPr>
                <w:rFonts w:ascii="Arial" w:hAnsi="Arial" w:cs="Arial"/>
                <w:sz w:val="24"/>
                <w:szCs w:val="24"/>
              </w:rPr>
              <w:t>C</w:t>
            </w:r>
            <w:r w:rsidR="004A03E5" w:rsidRPr="003A41B2">
              <w:rPr>
                <w:rFonts w:ascii="Arial" w:hAnsi="Arial" w:cs="Arial"/>
                <w:sz w:val="24"/>
                <w:szCs w:val="24"/>
              </w:rPr>
              <w:t>ompliance</w:t>
            </w:r>
            <w:r w:rsidR="008720C0" w:rsidRPr="003A41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7104" w:rsidRPr="003A41B2">
              <w:rPr>
                <w:rFonts w:ascii="Arial" w:hAnsi="Arial" w:cs="Arial"/>
                <w:sz w:val="24"/>
                <w:szCs w:val="24"/>
              </w:rPr>
              <w:t>with previous request</w:t>
            </w:r>
            <w:r w:rsidR="00807748" w:rsidRPr="003A41B2">
              <w:rPr>
                <w:rFonts w:ascii="Arial" w:hAnsi="Arial" w:cs="Arial"/>
                <w:sz w:val="24"/>
                <w:szCs w:val="24"/>
              </w:rPr>
              <w:t>s</w:t>
            </w:r>
            <w:r w:rsidR="00AC7104" w:rsidRPr="003A41B2">
              <w:rPr>
                <w:rFonts w:ascii="Arial" w:hAnsi="Arial" w:cs="Arial"/>
                <w:sz w:val="24"/>
                <w:szCs w:val="24"/>
              </w:rPr>
              <w:t xml:space="preserve"> will be</w:t>
            </w:r>
            <w:r w:rsidR="008720C0" w:rsidRPr="003A41B2">
              <w:rPr>
                <w:rFonts w:ascii="Arial" w:hAnsi="Arial" w:cs="Arial"/>
                <w:sz w:val="24"/>
                <w:szCs w:val="24"/>
              </w:rPr>
              <w:t xml:space="preserve"> considered as part of future reviews.</w:t>
            </w:r>
          </w:p>
        </w:tc>
      </w:tr>
    </w:tbl>
    <w:p w14:paraId="1F9FCA0E" w14:textId="77777777" w:rsidR="00D17406" w:rsidRDefault="00D17406" w:rsidP="00D8752E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320095" w:rsidRPr="00933DD9" w14:paraId="02524832" w14:textId="77777777" w:rsidTr="004D1E7A">
        <w:tc>
          <w:tcPr>
            <w:tcW w:w="9016" w:type="dxa"/>
            <w:gridSpan w:val="2"/>
            <w:shd w:val="clear" w:color="auto" w:fill="auto"/>
          </w:tcPr>
          <w:p w14:paraId="46B0A90E" w14:textId="77777777" w:rsidR="00320095" w:rsidRPr="00933DD9" w:rsidRDefault="008A6228" w:rsidP="00046D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Jeff Cuthbert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="00046D0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>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163767A7" w14:textId="77777777" w:rsidTr="004D1E7A">
        <w:tc>
          <w:tcPr>
            <w:tcW w:w="9016" w:type="dxa"/>
            <w:gridSpan w:val="2"/>
            <w:shd w:val="clear" w:color="auto" w:fill="auto"/>
          </w:tcPr>
          <w:p w14:paraId="29A84BEE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whether or not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1EA8FD3D" w14:textId="77777777" w:rsidR="0067439C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above </w:t>
            </w:r>
            <w:r w:rsidR="00E23BC1">
              <w:rPr>
                <w:rFonts w:ascii="Arial" w:hAnsi="Arial" w:cs="Arial"/>
                <w:sz w:val="24"/>
                <w:szCs w:val="24"/>
              </w:rPr>
              <w:t>decision log h</w:t>
            </w:r>
            <w:r>
              <w:rPr>
                <w:rFonts w:ascii="Arial" w:hAnsi="Arial" w:cs="Arial"/>
                <w:sz w:val="24"/>
                <w:szCs w:val="24"/>
              </w:rPr>
              <w:t>as my approval.</w:t>
            </w:r>
          </w:p>
          <w:p w14:paraId="185B4EBF" w14:textId="3750BEA1" w:rsidR="00DD7932" w:rsidRDefault="007D4611" w:rsidP="007D46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Please note: </w:t>
            </w:r>
            <w:r w:rsidR="00DD7932" w:rsidRPr="00DD7932">
              <w:rPr>
                <w:rFonts w:ascii="Arial" w:hAnsi="Arial" w:cs="Arial"/>
                <w:color w:val="000000"/>
                <w:sz w:val="24"/>
                <w:szCs w:val="24"/>
              </w:rPr>
              <w:t xml:space="preserve">This report has been signed by the </w:t>
            </w:r>
            <w:proofErr w:type="spellStart"/>
            <w:r w:rsidR="00DD7932" w:rsidRPr="00DD7932">
              <w:rPr>
                <w:rFonts w:ascii="Arial" w:hAnsi="Arial" w:cs="Arial"/>
                <w:color w:val="000000"/>
                <w:sz w:val="24"/>
                <w:szCs w:val="24"/>
              </w:rPr>
              <w:t>CEx</w:t>
            </w:r>
            <w:proofErr w:type="spellEnd"/>
            <w:r w:rsidR="00DD7932" w:rsidRPr="00DD7932">
              <w:rPr>
                <w:rFonts w:ascii="Arial" w:hAnsi="Arial" w:cs="Arial"/>
                <w:color w:val="000000"/>
                <w:sz w:val="24"/>
                <w:szCs w:val="24"/>
              </w:rPr>
              <w:t xml:space="preserve"> on behalf of the </w:t>
            </w:r>
            <w:r w:rsidR="00D84DAC">
              <w:rPr>
                <w:rFonts w:ascii="Arial" w:hAnsi="Arial" w:cs="Arial"/>
                <w:color w:val="000000"/>
                <w:sz w:val="24"/>
                <w:szCs w:val="24"/>
              </w:rPr>
              <w:t xml:space="preserve">previous </w:t>
            </w:r>
            <w:r w:rsidR="00DD7932" w:rsidRPr="00DD7932">
              <w:rPr>
                <w:rFonts w:ascii="Arial" w:hAnsi="Arial" w:cs="Arial"/>
                <w:color w:val="000000"/>
                <w:sz w:val="24"/>
                <w:szCs w:val="24"/>
              </w:rPr>
              <w:t>PCC as per Part 3c, Scheme of Consent and Delegation, Paragraph 9 of the Manual of Corporate Governance.</w:t>
            </w:r>
          </w:p>
          <w:p w14:paraId="3875B1EB" w14:textId="3B75084C" w:rsidR="007D4611" w:rsidRPr="007D4611" w:rsidRDefault="007D4611" w:rsidP="007D46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320095" w:rsidRPr="00933DD9" w14:paraId="78D6C335" w14:textId="77777777" w:rsidTr="004D1E7A">
        <w:tc>
          <w:tcPr>
            <w:tcW w:w="4513" w:type="dxa"/>
            <w:shd w:val="clear" w:color="auto" w:fill="auto"/>
          </w:tcPr>
          <w:p w14:paraId="66903EFE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46CD817F" w14:textId="0D8FE7A9" w:rsidR="00517603" w:rsidRPr="00933DD9" w:rsidRDefault="002415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FBFE90" wp14:editId="57F4BA4A">
                  <wp:extent cx="1752600" cy="523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620" cy="52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3" w:type="dxa"/>
            <w:shd w:val="clear" w:color="auto" w:fill="auto"/>
          </w:tcPr>
          <w:p w14:paraId="54EDBC34" w14:textId="0C396DBD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  <w:r w:rsidR="00241549">
              <w:rPr>
                <w:rFonts w:ascii="Arial" w:hAnsi="Arial" w:cs="Arial"/>
                <w:sz w:val="24"/>
                <w:szCs w:val="24"/>
              </w:rPr>
              <w:t xml:space="preserve"> 05/03/25</w:t>
            </w:r>
          </w:p>
          <w:p w14:paraId="3F59F347" w14:textId="6A977DFB" w:rsidR="00517603" w:rsidRPr="00933DD9" w:rsidRDefault="005176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0BAEFB" w14:textId="77777777" w:rsidR="00320095" w:rsidRPr="00D857C8" w:rsidRDefault="00320095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567"/>
      </w:tblGrid>
      <w:tr w:rsidR="00320095" w:rsidRPr="00933DD9" w14:paraId="365E72FC" w14:textId="77777777" w:rsidTr="00933DD9">
        <w:tc>
          <w:tcPr>
            <w:tcW w:w="4621" w:type="dxa"/>
            <w:shd w:val="clear" w:color="auto" w:fill="auto"/>
          </w:tcPr>
          <w:p w14:paraId="7544AE38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66DC8EC8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0A115A79" w14:textId="77777777" w:rsidTr="00933DD9">
        <w:tc>
          <w:tcPr>
            <w:tcW w:w="4621" w:type="dxa"/>
            <w:shd w:val="clear" w:color="auto" w:fill="auto"/>
          </w:tcPr>
          <w:p w14:paraId="606E0FB4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795D4447" w14:textId="77777777" w:rsidR="00320095" w:rsidRPr="00933DD9" w:rsidRDefault="00F2398C" w:rsidP="00D857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Joanne Regan</w:t>
            </w:r>
          </w:p>
        </w:tc>
      </w:tr>
      <w:tr w:rsidR="00320095" w:rsidRPr="00933DD9" w14:paraId="7D468245" w14:textId="77777777" w:rsidTr="00933DD9">
        <w:tc>
          <w:tcPr>
            <w:tcW w:w="4621" w:type="dxa"/>
            <w:shd w:val="clear" w:color="auto" w:fill="auto"/>
          </w:tcPr>
          <w:p w14:paraId="56C87F0A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Position</w:t>
            </w:r>
          </w:p>
        </w:tc>
        <w:tc>
          <w:tcPr>
            <w:tcW w:w="4621" w:type="dxa"/>
            <w:shd w:val="clear" w:color="auto" w:fill="auto"/>
          </w:tcPr>
          <w:p w14:paraId="64BE8D7B" w14:textId="77777777" w:rsidR="00320095" w:rsidRPr="00933DD9" w:rsidRDefault="004A03E5" w:rsidP="00D857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 of Assurance and Compliance</w:t>
            </w:r>
          </w:p>
        </w:tc>
      </w:tr>
      <w:tr w:rsidR="00320095" w:rsidRPr="00933DD9" w14:paraId="082B9540" w14:textId="77777777" w:rsidTr="00933DD9">
        <w:tc>
          <w:tcPr>
            <w:tcW w:w="4621" w:type="dxa"/>
            <w:shd w:val="clear" w:color="auto" w:fill="auto"/>
          </w:tcPr>
          <w:p w14:paraId="15008210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4F8A4FFE" w14:textId="77777777" w:rsidR="00320095" w:rsidRPr="00933DD9" w:rsidRDefault="00F2398C" w:rsidP="00D857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01633 642015</w:t>
            </w:r>
          </w:p>
        </w:tc>
      </w:tr>
      <w:tr w:rsidR="00320095" w:rsidRPr="00933DD9" w14:paraId="12600FE1" w14:textId="77777777" w:rsidTr="00933DD9">
        <w:tc>
          <w:tcPr>
            <w:tcW w:w="4621" w:type="dxa"/>
            <w:shd w:val="clear" w:color="auto" w:fill="auto"/>
          </w:tcPr>
          <w:p w14:paraId="0B0960CA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01D2E321" w14:textId="293865F0" w:rsidR="00F2398C" w:rsidRPr="00933DD9" w:rsidRDefault="004D1E7A" w:rsidP="00F239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Joanne.Regan@gwent.police.uk</w:t>
            </w:r>
          </w:p>
        </w:tc>
      </w:tr>
      <w:tr w:rsidR="00320095" w:rsidRPr="00933DD9" w14:paraId="2BBD9828" w14:textId="77777777" w:rsidTr="00933DD9">
        <w:tc>
          <w:tcPr>
            <w:tcW w:w="4621" w:type="dxa"/>
            <w:shd w:val="clear" w:color="auto" w:fill="auto"/>
          </w:tcPr>
          <w:p w14:paraId="0A4DE8A3" w14:textId="77777777" w:rsidR="004D12E8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69E25AAD" w14:textId="5C3D1602" w:rsidR="00320095" w:rsidRPr="00933DD9" w:rsidRDefault="00F2398C" w:rsidP="009669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Gwent Police Gifts and Hospitality and B</w:t>
            </w:r>
            <w:r w:rsidR="00AC7104">
              <w:rPr>
                <w:rFonts w:ascii="Arial" w:hAnsi="Arial" w:cs="Arial"/>
                <w:sz w:val="24"/>
                <w:szCs w:val="24"/>
              </w:rPr>
              <w:t>usiness Interests Registers 20</w:t>
            </w:r>
            <w:r w:rsidR="0061140F">
              <w:rPr>
                <w:rFonts w:ascii="Arial" w:hAnsi="Arial" w:cs="Arial"/>
                <w:sz w:val="24"/>
                <w:szCs w:val="24"/>
              </w:rPr>
              <w:t>2</w:t>
            </w:r>
            <w:r w:rsidR="00241549">
              <w:rPr>
                <w:rFonts w:ascii="Arial" w:hAnsi="Arial" w:cs="Arial"/>
                <w:sz w:val="24"/>
                <w:szCs w:val="24"/>
              </w:rPr>
              <w:t>3</w:t>
            </w:r>
            <w:r w:rsidR="00AC7104">
              <w:rPr>
                <w:rFonts w:ascii="Arial" w:hAnsi="Arial" w:cs="Arial"/>
                <w:sz w:val="24"/>
                <w:szCs w:val="24"/>
              </w:rPr>
              <w:t>/</w:t>
            </w:r>
            <w:r w:rsidR="00966A84">
              <w:rPr>
                <w:rFonts w:ascii="Arial" w:hAnsi="Arial" w:cs="Arial"/>
                <w:sz w:val="24"/>
                <w:szCs w:val="24"/>
              </w:rPr>
              <w:t>2</w:t>
            </w:r>
            <w:r w:rsidR="002415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2383134B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17A0" w14:textId="77777777" w:rsidR="00D832E3" w:rsidRDefault="00D832E3" w:rsidP="0048661A">
      <w:pPr>
        <w:spacing w:after="0" w:line="240" w:lineRule="auto"/>
      </w:pPr>
      <w:r>
        <w:separator/>
      </w:r>
    </w:p>
  </w:endnote>
  <w:endnote w:type="continuationSeparator" w:id="0">
    <w:p w14:paraId="2FBCA42D" w14:textId="77777777" w:rsidR="00D832E3" w:rsidRDefault="00D832E3" w:rsidP="0048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A9568" w14:textId="77777777" w:rsidR="00AA04C5" w:rsidRDefault="00AA04C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4D2B46F" w14:textId="77777777" w:rsidR="00AA04C5" w:rsidRDefault="00AA0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DAC33" w14:textId="77777777" w:rsidR="00D832E3" w:rsidRDefault="00D832E3" w:rsidP="0048661A">
      <w:pPr>
        <w:spacing w:after="0" w:line="240" w:lineRule="auto"/>
      </w:pPr>
      <w:r>
        <w:separator/>
      </w:r>
    </w:p>
  </w:footnote>
  <w:footnote w:type="continuationSeparator" w:id="0">
    <w:p w14:paraId="7FCBB4A5" w14:textId="77777777" w:rsidR="00D832E3" w:rsidRDefault="00D832E3" w:rsidP="0048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698"/>
    <w:multiLevelType w:val="hybridMultilevel"/>
    <w:tmpl w:val="EC866A4A"/>
    <w:lvl w:ilvl="0" w:tplc="2F52C81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74044">
    <w:abstractNumId w:val="5"/>
  </w:num>
  <w:num w:numId="2" w16cid:durableId="294533321">
    <w:abstractNumId w:val="6"/>
  </w:num>
  <w:num w:numId="3" w16cid:durableId="1160273946">
    <w:abstractNumId w:val="4"/>
  </w:num>
  <w:num w:numId="4" w16cid:durableId="2116168849">
    <w:abstractNumId w:val="0"/>
  </w:num>
  <w:num w:numId="5" w16cid:durableId="776557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192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077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1543"/>
    <w:rsid w:val="00026593"/>
    <w:rsid w:val="000267FF"/>
    <w:rsid w:val="00046D0A"/>
    <w:rsid w:val="0008452F"/>
    <w:rsid w:val="0009284A"/>
    <w:rsid w:val="000D10E3"/>
    <w:rsid w:val="0017034C"/>
    <w:rsid w:val="001925D9"/>
    <w:rsid w:val="001F00C4"/>
    <w:rsid w:val="002166BD"/>
    <w:rsid w:val="00241549"/>
    <w:rsid w:val="00243AC3"/>
    <w:rsid w:val="002625E0"/>
    <w:rsid w:val="00286229"/>
    <w:rsid w:val="002918B1"/>
    <w:rsid w:val="002A2A8C"/>
    <w:rsid w:val="002C6367"/>
    <w:rsid w:val="002D39E9"/>
    <w:rsid w:val="002F27C2"/>
    <w:rsid w:val="00313403"/>
    <w:rsid w:val="00314960"/>
    <w:rsid w:val="00317140"/>
    <w:rsid w:val="00320095"/>
    <w:rsid w:val="003A0D05"/>
    <w:rsid w:val="003A41B2"/>
    <w:rsid w:val="003F6D85"/>
    <w:rsid w:val="0041427B"/>
    <w:rsid w:val="0045450A"/>
    <w:rsid w:val="0045799C"/>
    <w:rsid w:val="00475EEB"/>
    <w:rsid w:val="00482DB5"/>
    <w:rsid w:val="0048661A"/>
    <w:rsid w:val="00486B55"/>
    <w:rsid w:val="0049605C"/>
    <w:rsid w:val="004A03E5"/>
    <w:rsid w:val="004A6CD5"/>
    <w:rsid w:val="004B0DD9"/>
    <w:rsid w:val="004C455E"/>
    <w:rsid w:val="004D12E8"/>
    <w:rsid w:val="004D19FD"/>
    <w:rsid w:val="004D1E7A"/>
    <w:rsid w:val="004E050A"/>
    <w:rsid w:val="005031F0"/>
    <w:rsid w:val="005033D8"/>
    <w:rsid w:val="00506426"/>
    <w:rsid w:val="00517603"/>
    <w:rsid w:val="00523A31"/>
    <w:rsid w:val="00537817"/>
    <w:rsid w:val="00542CB1"/>
    <w:rsid w:val="00555ACF"/>
    <w:rsid w:val="005C0216"/>
    <w:rsid w:val="005C3534"/>
    <w:rsid w:val="005D1E70"/>
    <w:rsid w:val="005D2628"/>
    <w:rsid w:val="0061140F"/>
    <w:rsid w:val="00617DB8"/>
    <w:rsid w:val="00621046"/>
    <w:rsid w:val="006463F3"/>
    <w:rsid w:val="006607EA"/>
    <w:rsid w:val="00662C23"/>
    <w:rsid w:val="0067439C"/>
    <w:rsid w:val="006A7374"/>
    <w:rsid w:val="006C7B0D"/>
    <w:rsid w:val="006F06BC"/>
    <w:rsid w:val="00742530"/>
    <w:rsid w:val="0074386C"/>
    <w:rsid w:val="007727A7"/>
    <w:rsid w:val="00780D52"/>
    <w:rsid w:val="007A0270"/>
    <w:rsid w:val="007B3DC3"/>
    <w:rsid w:val="007C42EE"/>
    <w:rsid w:val="007D4611"/>
    <w:rsid w:val="00807748"/>
    <w:rsid w:val="00820EC8"/>
    <w:rsid w:val="00851CCB"/>
    <w:rsid w:val="0086705B"/>
    <w:rsid w:val="008720C0"/>
    <w:rsid w:val="008866B9"/>
    <w:rsid w:val="0089066A"/>
    <w:rsid w:val="008A6228"/>
    <w:rsid w:val="008B613B"/>
    <w:rsid w:val="008F17DC"/>
    <w:rsid w:val="00923CB9"/>
    <w:rsid w:val="00933DD9"/>
    <w:rsid w:val="009600D5"/>
    <w:rsid w:val="00961BD2"/>
    <w:rsid w:val="009669CD"/>
    <w:rsid w:val="00966A84"/>
    <w:rsid w:val="009B0E90"/>
    <w:rsid w:val="009D678F"/>
    <w:rsid w:val="009F40AD"/>
    <w:rsid w:val="009F7E13"/>
    <w:rsid w:val="00A058E1"/>
    <w:rsid w:val="00A12C14"/>
    <w:rsid w:val="00A23C5E"/>
    <w:rsid w:val="00A32616"/>
    <w:rsid w:val="00A77387"/>
    <w:rsid w:val="00A9036F"/>
    <w:rsid w:val="00AA04C5"/>
    <w:rsid w:val="00AC7104"/>
    <w:rsid w:val="00AF5AF4"/>
    <w:rsid w:val="00B05D01"/>
    <w:rsid w:val="00B45624"/>
    <w:rsid w:val="00B80256"/>
    <w:rsid w:val="00B8505B"/>
    <w:rsid w:val="00B95F42"/>
    <w:rsid w:val="00B973FF"/>
    <w:rsid w:val="00BC4F1C"/>
    <w:rsid w:val="00C02C11"/>
    <w:rsid w:val="00C371FE"/>
    <w:rsid w:val="00C37CAB"/>
    <w:rsid w:val="00C40901"/>
    <w:rsid w:val="00C6659C"/>
    <w:rsid w:val="00C742C6"/>
    <w:rsid w:val="00C92095"/>
    <w:rsid w:val="00CA2981"/>
    <w:rsid w:val="00CC7DC1"/>
    <w:rsid w:val="00CF39D5"/>
    <w:rsid w:val="00D152B6"/>
    <w:rsid w:val="00D17406"/>
    <w:rsid w:val="00D2453A"/>
    <w:rsid w:val="00D312AC"/>
    <w:rsid w:val="00D31CC3"/>
    <w:rsid w:val="00D832E3"/>
    <w:rsid w:val="00D84DAC"/>
    <w:rsid w:val="00D857C8"/>
    <w:rsid w:val="00D86CF5"/>
    <w:rsid w:val="00D8752E"/>
    <w:rsid w:val="00DA1053"/>
    <w:rsid w:val="00DA2E4B"/>
    <w:rsid w:val="00DA4611"/>
    <w:rsid w:val="00DD7932"/>
    <w:rsid w:val="00E1264B"/>
    <w:rsid w:val="00E23BC1"/>
    <w:rsid w:val="00E3356F"/>
    <w:rsid w:val="00E378E2"/>
    <w:rsid w:val="00E50D99"/>
    <w:rsid w:val="00E56EE4"/>
    <w:rsid w:val="00EA1DF9"/>
    <w:rsid w:val="00EB33A4"/>
    <w:rsid w:val="00EB4FE0"/>
    <w:rsid w:val="00ED215F"/>
    <w:rsid w:val="00ED773A"/>
    <w:rsid w:val="00F07C59"/>
    <w:rsid w:val="00F22A16"/>
    <w:rsid w:val="00F237FB"/>
    <w:rsid w:val="00F2398C"/>
    <w:rsid w:val="00F37C4A"/>
    <w:rsid w:val="00F4741F"/>
    <w:rsid w:val="00F5743B"/>
    <w:rsid w:val="00F66EE6"/>
    <w:rsid w:val="00F97772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476ACC17"/>
  <w15:chartTrackingRefBased/>
  <w15:docId w15:val="{7BD0FDE9-CD06-4129-8788-956C6DF9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autoRedefine/>
    <w:uiPriority w:val="1"/>
    <w:qFormat/>
    <w:rsid w:val="002625E0"/>
    <w:pPr>
      <w:numPr>
        <w:numId w:val="7"/>
      </w:numPr>
    </w:pPr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5D1E7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20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EC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20E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E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0EC8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0EC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4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04C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4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04C5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A02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2" ma:contentTypeDescription="Create a new document." ma:contentTypeScope="" ma:versionID="668770cd22318872c1cc3c0aae7d1bae">
  <xsd:schema xmlns:xsd="http://www.w3.org/2001/XMLSchema" xmlns:xs="http://www.w3.org/2001/XMLSchema" xmlns:p="http://schemas.microsoft.com/office/2006/metadata/properties" xmlns:ns3="9ab8bab1-6f64-497b-bbc8-5371954017bf" xmlns:ns4="fb6b97cf-7331-40db-be90-6cfa827a7514" targetNamespace="http://schemas.microsoft.com/office/2006/metadata/properties" ma:root="true" ma:fieldsID="5dfcd47b67621a6caa7d4506d49c015e" ns3:_="" ns4:_="">
    <xsd:import namespace="9ab8bab1-6f64-497b-bbc8-5371954017bf"/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BB73B-25D7-4221-8DA8-8AD41FF9FF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73FCFA-F608-42C3-8FE2-80E459C54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8bab1-6f64-497b-bbc8-5371954017bf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802136-1834-4CC7-8EEF-1D6819136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4116</CharactersWithSpaces>
  <SharedDoc>false</SharedDoc>
  <HLinks>
    <vt:vector size="6" baseType="variant"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mailto:Joanne.Regan@Gwent.pnn.police.uk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- 23/10/2020 11:33:00</dc:description>
  <cp:lastModifiedBy>Warren, Nicola</cp:lastModifiedBy>
  <cp:revision>2</cp:revision>
  <cp:lastPrinted>2020-10-28T13:11:00Z</cp:lastPrinted>
  <dcterms:created xsi:type="dcterms:W3CDTF">2025-03-18T14:54:00Z</dcterms:created>
  <dcterms:modified xsi:type="dcterms:W3CDTF">2025-03-18T14:54:00Z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2021-11-04T10:26:04Z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607827ea-74cf-4162-97e6-5533b1555989</vt:lpwstr>
  </property>
  <property fmtid="{D5CDD505-2E9C-101B-9397-08002B2CF9AE}" pid="15" name="MSIP_Label_f2acd28b-79a3-4a0f-b0ff-4b75658b1549_ContentBits">
    <vt:lpwstr>0</vt:lpwstr>
  </property>
</Properties>
</file>