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971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0098A1E9" w:rsidR="00320095" w:rsidRPr="000409AB" w:rsidRDefault="002675A6" w:rsidP="00786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5A6">
              <w:rPr>
                <w:rFonts w:ascii="Arial" w:hAnsi="Arial" w:cs="Arial"/>
                <w:b/>
                <w:bCs/>
                <w:sz w:val="24"/>
                <w:szCs w:val="24"/>
              </w:rPr>
              <w:t>PCCG-2024-031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BB37E3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7E3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406B7E89" w:rsidR="00320095" w:rsidRPr="00933DD9" w:rsidRDefault="00957874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Safety and Youth Offending </w:t>
            </w:r>
            <w:r w:rsidR="00C67B93">
              <w:rPr>
                <w:rFonts w:ascii="Arial" w:hAnsi="Arial" w:cs="Arial"/>
                <w:sz w:val="24"/>
                <w:szCs w:val="24"/>
              </w:rPr>
              <w:t>Funding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 for 202</w:t>
            </w:r>
            <w:r w:rsidR="0088023E">
              <w:rPr>
                <w:rFonts w:ascii="Arial" w:hAnsi="Arial" w:cs="Arial"/>
                <w:sz w:val="24"/>
                <w:szCs w:val="24"/>
              </w:rPr>
              <w:t>5</w:t>
            </w:r>
            <w:r w:rsidR="002756B8">
              <w:rPr>
                <w:rFonts w:ascii="Arial" w:hAnsi="Arial" w:cs="Arial"/>
                <w:sz w:val="24"/>
                <w:szCs w:val="24"/>
              </w:rPr>
              <w:t>/20</w:t>
            </w:r>
            <w:r w:rsidR="005B6D95">
              <w:rPr>
                <w:rFonts w:ascii="Arial" w:hAnsi="Arial" w:cs="Arial"/>
                <w:sz w:val="24"/>
                <w:szCs w:val="24"/>
              </w:rPr>
              <w:t>2</w:t>
            </w:r>
            <w:r w:rsidR="0088023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BB37E3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7E3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546558B1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award funding to </w:t>
            </w:r>
            <w:r w:rsidR="00C67B93">
              <w:rPr>
                <w:rFonts w:ascii="Arial" w:hAnsi="Arial" w:cs="Arial"/>
                <w:sz w:val="24"/>
                <w:szCs w:val="24"/>
              </w:rPr>
              <w:t>community safety and youth offending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B93">
              <w:rPr>
                <w:rFonts w:ascii="Arial" w:hAnsi="Arial" w:cs="Arial"/>
                <w:sz w:val="24"/>
                <w:szCs w:val="24"/>
              </w:rPr>
              <w:t xml:space="preserve">partners </w:t>
            </w:r>
            <w:r w:rsidR="00836604">
              <w:rPr>
                <w:rFonts w:ascii="Arial" w:hAnsi="Arial" w:cs="Arial"/>
                <w:sz w:val="24"/>
                <w:szCs w:val="24"/>
              </w:rPr>
              <w:t>for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88023E">
              <w:rPr>
                <w:rFonts w:ascii="Arial" w:hAnsi="Arial" w:cs="Arial"/>
                <w:sz w:val="24"/>
                <w:szCs w:val="24"/>
              </w:rPr>
              <w:t xml:space="preserve"> financial year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05CC">
              <w:rPr>
                <w:rFonts w:ascii="Arial" w:hAnsi="Arial" w:cs="Arial"/>
                <w:sz w:val="24"/>
                <w:szCs w:val="24"/>
              </w:rPr>
              <w:t>202</w:t>
            </w:r>
            <w:r w:rsidR="0088023E">
              <w:rPr>
                <w:rFonts w:ascii="Arial" w:hAnsi="Arial" w:cs="Arial"/>
                <w:sz w:val="24"/>
                <w:szCs w:val="24"/>
              </w:rPr>
              <w:t>5</w:t>
            </w:r>
            <w:r w:rsidR="00A605CC">
              <w:rPr>
                <w:rFonts w:ascii="Arial" w:hAnsi="Arial" w:cs="Arial"/>
                <w:sz w:val="24"/>
                <w:szCs w:val="24"/>
              </w:rPr>
              <w:t>/202</w:t>
            </w:r>
            <w:r w:rsidR="0088023E">
              <w:rPr>
                <w:rFonts w:ascii="Arial" w:hAnsi="Arial" w:cs="Arial"/>
                <w:sz w:val="24"/>
                <w:szCs w:val="24"/>
              </w:rPr>
              <w:t>6</w:t>
            </w:r>
            <w:r w:rsidR="005B6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34"/>
        <w:gridCol w:w="8538"/>
      </w:tblGrid>
      <w:tr w:rsidR="00D8752E" w:rsidRPr="00933DD9" w14:paraId="70CAADD2" w14:textId="77777777" w:rsidTr="00514404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3E6" w14:textId="36FA5F30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operation with responsible authorities and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makes arrangements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957874" w:rsidRPr="00933DD9" w14:paraId="38FC7C5A" w14:textId="77777777" w:rsidTr="00514404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77777777" w:rsidR="00957874" w:rsidRDefault="005B6D9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11E7" w14:textId="0110333C" w:rsidR="0034702F" w:rsidRPr="0034702F" w:rsidRDefault="00957874" w:rsidP="003470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requirements under the Act have been considered as well as the requirements of the Police</w:t>
            </w:r>
            <w:r w:rsidR="0088023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D04C7">
              <w:rPr>
                <w:rFonts w:ascii="Arial" w:hAnsi="Arial" w:cs="Arial"/>
                <w:sz w:val="24"/>
                <w:szCs w:val="24"/>
              </w:rPr>
              <w:t>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23E">
              <w:rPr>
                <w:rFonts w:ascii="Arial" w:hAnsi="Arial" w:cs="Arial"/>
                <w:sz w:val="24"/>
                <w:szCs w:val="24"/>
              </w:rPr>
              <w:t xml:space="preserve">and Justice </w:t>
            </w:r>
            <w:r w:rsidRPr="001D04C7">
              <w:rPr>
                <w:rFonts w:ascii="Arial" w:hAnsi="Arial" w:cs="Arial"/>
                <w:sz w:val="24"/>
                <w:szCs w:val="24"/>
              </w:rPr>
              <w:t>Plan and the current community safety landscape in Gwent</w:t>
            </w:r>
            <w:r w:rsidR="003470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B1B790" w14:textId="658A344D" w:rsidR="0034702F" w:rsidRDefault="0034702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arrangements 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for allocating </w:t>
            </w:r>
            <w:r>
              <w:rPr>
                <w:rFonts w:ascii="Arial" w:hAnsi="Arial" w:cs="Arial"/>
                <w:sz w:val="24"/>
                <w:szCs w:val="24"/>
              </w:rPr>
              <w:t xml:space="preserve">funding to each </w:t>
            </w:r>
            <w:r w:rsidR="0071014D">
              <w:rPr>
                <w:rFonts w:ascii="Arial" w:hAnsi="Arial" w:cs="Arial"/>
                <w:sz w:val="24"/>
                <w:szCs w:val="24"/>
              </w:rPr>
              <w:t xml:space="preserve">Local Authority </w:t>
            </w:r>
            <w:r>
              <w:rPr>
                <w:rFonts w:ascii="Arial" w:hAnsi="Arial" w:cs="Arial"/>
                <w:sz w:val="24"/>
                <w:szCs w:val="24"/>
              </w:rPr>
              <w:t>and Y</w:t>
            </w:r>
            <w:r w:rsidR="0071014D">
              <w:rPr>
                <w:rFonts w:ascii="Arial" w:hAnsi="Arial" w:cs="Arial"/>
                <w:sz w:val="24"/>
                <w:szCs w:val="24"/>
              </w:rPr>
              <w:t xml:space="preserve">outh Offending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1014D">
              <w:rPr>
                <w:rFonts w:ascii="Arial" w:hAnsi="Arial" w:cs="Arial"/>
                <w:sz w:val="24"/>
                <w:szCs w:val="24"/>
              </w:rPr>
              <w:t>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based on an agreed formula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takes into consideration both the population and the crime rate of each </w:t>
            </w:r>
            <w:r w:rsidR="0071014D">
              <w:rPr>
                <w:rFonts w:ascii="Arial" w:hAnsi="Arial" w:cs="Arial"/>
                <w:sz w:val="24"/>
                <w:szCs w:val="24"/>
              </w:rPr>
              <w:t>Local Authority area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DBF7B0" w14:textId="77777777" w:rsidR="0034702F" w:rsidRDefault="0034702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9F5C1" w14:textId="56E12BEF" w:rsidR="00957874" w:rsidRDefault="005B6D95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budget </w:t>
            </w:r>
            <w:r w:rsidRPr="002675A6">
              <w:rPr>
                <w:rFonts w:ascii="Arial" w:hAnsi="Arial" w:cs="Arial"/>
                <w:sz w:val="24"/>
                <w:szCs w:val="24"/>
              </w:rPr>
              <w:t>of £</w:t>
            </w:r>
            <w:r w:rsidR="009B308D" w:rsidRPr="002675A6">
              <w:rPr>
                <w:rFonts w:ascii="Arial" w:hAnsi="Arial" w:cs="Arial"/>
                <w:sz w:val="24"/>
                <w:szCs w:val="24"/>
              </w:rPr>
              <w:t>6</w:t>
            </w:r>
            <w:r w:rsidR="002675A6" w:rsidRPr="002675A6">
              <w:rPr>
                <w:rFonts w:ascii="Arial" w:hAnsi="Arial" w:cs="Arial"/>
                <w:sz w:val="24"/>
                <w:szCs w:val="24"/>
              </w:rPr>
              <w:t>19</w:t>
            </w:r>
            <w:r w:rsidRPr="002675A6">
              <w:rPr>
                <w:rFonts w:ascii="Arial" w:hAnsi="Arial" w:cs="Arial"/>
                <w:sz w:val="24"/>
                <w:szCs w:val="24"/>
              </w:rPr>
              <w:t>,</w:t>
            </w:r>
            <w:r w:rsidR="002675A6" w:rsidRPr="002675A6">
              <w:rPr>
                <w:rFonts w:ascii="Arial" w:hAnsi="Arial" w:cs="Arial"/>
                <w:sz w:val="24"/>
                <w:szCs w:val="24"/>
              </w:rPr>
              <w:t>615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set for community safety and youth offending in Gwent. Of this</w:t>
            </w:r>
            <w:r w:rsidR="00E069C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5A6">
              <w:rPr>
                <w:rFonts w:ascii="Arial" w:hAnsi="Arial" w:cs="Arial"/>
                <w:sz w:val="24"/>
                <w:szCs w:val="24"/>
              </w:rPr>
              <w:t>£</w:t>
            </w:r>
            <w:r w:rsidR="00514404">
              <w:rPr>
                <w:rFonts w:ascii="Arial" w:hAnsi="Arial" w:cs="Arial"/>
                <w:sz w:val="24"/>
                <w:szCs w:val="24"/>
              </w:rPr>
              <w:t xml:space="preserve">131,469 </w:t>
            </w:r>
            <w:r>
              <w:rPr>
                <w:rFonts w:ascii="Arial" w:hAnsi="Arial" w:cs="Arial"/>
                <w:sz w:val="24"/>
                <w:szCs w:val="24"/>
              </w:rPr>
              <w:t>is retained for non</w:t>
            </w:r>
            <w:r w:rsidR="00DD56A9">
              <w:rPr>
                <w:rFonts w:ascii="Arial" w:hAnsi="Arial" w:cs="Arial"/>
                <w:sz w:val="24"/>
                <w:szCs w:val="24"/>
              </w:rPr>
              <w:t>-</w:t>
            </w:r>
            <w:r w:rsidR="009834F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834F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uthority partners, whilst the remaining £4</w:t>
            </w:r>
            <w:r w:rsidR="0088023E">
              <w:rPr>
                <w:rFonts w:ascii="Arial" w:hAnsi="Arial" w:cs="Arial"/>
                <w:sz w:val="24"/>
                <w:szCs w:val="24"/>
              </w:rPr>
              <w:t>88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88023E">
              <w:rPr>
                <w:rFonts w:ascii="Arial" w:hAnsi="Arial" w:cs="Arial"/>
                <w:sz w:val="24"/>
                <w:szCs w:val="24"/>
              </w:rPr>
              <w:t>14</w:t>
            </w:r>
            <w:r w:rsidR="0051440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allocated to </w:t>
            </w:r>
            <w:r w:rsidR="009834F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834F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uthorities to contribute towards their community safety and youth offending provisions. Using the agreed formula</w:t>
            </w:r>
            <w:r w:rsidR="0034702F">
              <w:rPr>
                <w:rFonts w:ascii="Arial" w:hAnsi="Arial" w:cs="Arial"/>
                <w:sz w:val="24"/>
                <w:szCs w:val="24"/>
              </w:rPr>
              <w:t xml:space="preserve">, the following allocations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209BF">
              <w:rPr>
                <w:rFonts w:ascii="Arial" w:hAnsi="Arial" w:cs="Arial"/>
                <w:sz w:val="24"/>
                <w:szCs w:val="24"/>
              </w:rPr>
              <w:t>ill be</w:t>
            </w:r>
            <w:r w:rsidR="0034702F">
              <w:rPr>
                <w:rFonts w:ascii="Arial" w:hAnsi="Arial" w:cs="Arial"/>
                <w:sz w:val="24"/>
                <w:szCs w:val="24"/>
              </w:rPr>
              <w:t xml:space="preserve"> made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9834F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834F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uthority partners</w:t>
            </w:r>
            <w:r w:rsidR="0034702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515A648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1E755E" w14:textId="77777777" w:rsidR="00514404" w:rsidRDefault="00514404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9908B2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3"/>
              <w:gridCol w:w="1929"/>
            </w:tblGrid>
            <w:tr w:rsidR="00543FDA" w:rsidRPr="00A30EB1" w14:paraId="26E7022B" w14:textId="77777777" w:rsidTr="009C7255">
              <w:trPr>
                <w:trHeight w:val="157"/>
              </w:trPr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8E46" w14:textId="77777777" w:rsidR="00543FDA" w:rsidRPr="00A30EB1" w:rsidRDefault="00543FDA" w:rsidP="00A43B80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Project / Service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E5B3" w14:textId="71912DB0" w:rsidR="00543FDA" w:rsidRPr="00A30EB1" w:rsidRDefault="00543FDA" w:rsidP="00543FDA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Amount Allocated for </w:t>
                  </w:r>
                  <w:r w:rsidR="009834F7">
                    <w:rPr>
                      <w:rFonts w:cs="Arial"/>
                      <w:b/>
                      <w:bCs/>
                      <w:szCs w:val="22"/>
                    </w:rPr>
                    <w:t>202</w:t>
                  </w:r>
                  <w:r w:rsidR="002675A6">
                    <w:rPr>
                      <w:rFonts w:cs="Arial"/>
                      <w:b/>
                      <w:bCs/>
                      <w:szCs w:val="22"/>
                    </w:rPr>
                    <w:t>5</w:t>
                  </w:r>
                  <w:r w:rsidR="007F21CB">
                    <w:rPr>
                      <w:rFonts w:cs="Arial"/>
                      <w:b/>
                      <w:bCs/>
                      <w:szCs w:val="22"/>
                    </w:rPr>
                    <w:t>/</w:t>
                  </w:r>
                  <w:r w:rsidR="009834F7">
                    <w:rPr>
                      <w:rFonts w:cs="Arial"/>
                      <w:b/>
                      <w:bCs/>
                      <w:szCs w:val="22"/>
                    </w:rPr>
                    <w:t>2</w:t>
                  </w:r>
                  <w:r w:rsidR="002675A6">
                    <w:rPr>
                      <w:rFonts w:cs="Arial"/>
                      <w:b/>
                      <w:bCs/>
                      <w:szCs w:val="22"/>
                    </w:rPr>
                    <w:t>6</w:t>
                  </w:r>
                </w:p>
                <w:p w14:paraId="4545EECD" w14:textId="77777777" w:rsidR="00543FDA" w:rsidRPr="00A30EB1" w:rsidRDefault="00543FDA" w:rsidP="00A43B80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</w:tr>
            <w:tr w:rsidR="005B6D95" w:rsidRPr="00A30EB1" w14:paraId="22AD348A" w14:textId="77777777" w:rsidTr="009C7255">
              <w:trPr>
                <w:trHeight w:val="157"/>
              </w:trPr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0158" w14:textId="77777777" w:rsidR="005B6D95" w:rsidRPr="009834F7" w:rsidRDefault="005B6D95" w:rsidP="009834F7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Blaenau Gwent County Borough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38A6" w14:textId="61F46E59" w:rsidR="005B6D95" w:rsidRPr="009834F7" w:rsidRDefault="0088023E" w:rsidP="009834F7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£37,882</w:t>
                  </w:r>
                </w:p>
              </w:tc>
            </w:tr>
            <w:tr w:rsidR="00543FDA" w:rsidRPr="00A30EB1" w14:paraId="540E4B64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69C54BC0" w14:textId="77777777" w:rsidR="00543FDA" w:rsidRPr="00A30EB1" w:rsidRDefault="00543FDA" w:rsidP="00F93043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Caerphilly County Borough Council </w:t>
                  </w:r>
                  <w:r w:rsidR="00F93043">
                    <w:rPr>
                      <w:rFonts w:cs="Arial"/>
                      <w:szCs w:val="22"/>
                    </w:rPr>
                    <w:t>–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="00F93043">
                    <w:rPr>
                      <w:rFonts w:cs="Arial"/>
                      <w:szCs w:val="22"/>
                    </w:rPr>
                    <w:t>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50F7F8BD" w14:textId="7A10A25A" w:rsidR="00543FDA" w:rsidRPr="00A30EB1" w:rsidRDefault="0088023E" w:rsidP="00836604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£68,649</w:t>
                  </w:r>
                </w:p>
              </w:tc>
            </w:tr>
            <w:tr w:rsidR="005B6D95" w:rsidRPr="00A30EB1" w14:paraId="44E564C1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436F2846" w14:textId="77777777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Monmouthshire County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1A68E351" w14:textId="0DB87189" w:rsidR="005B6D95" w:rsidRPr="00A30EB1" w:rsidRDefault="0088023E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£39,468</w:t>
                  </w:r>
                </w:p>
              </w:tc>
            </w:tr>
            <w:tr w:rsidR="005B6D95" w:rsidRPr="00A30EB1" w14:paraId="4AD4C6F5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2F572126" w14:textId="77777777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Newport City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3C9F6AE6" w14:textId="4BDD3D05" w:rsidR="005B6D95" w:rsidRPr="00A30EB1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£71,781</w:t>
                  </w:r>
                </w:p>
              </w:tc>
            </w:tr>
            <w:tr w:rsidR="005B6D95" w:rsidRPr="00A30EB1" w14:paraId="663F42E9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5FE170D4" w14:textId="77777777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Torfaen County Borough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66B26E53" w14:textId="5159DA26" w:rsidR="005B6D95" w:rsidRPr="00A30EB1" w:rsidRDefault="0088023E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£45,412</w:t>
                  </w:r>
                </w:p>
              </w:tc>
            </w:tr>
            <w:tr w:rsidR="005B6D95" w:rsidRPr="00A30EB1" w14:paraId="66622378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23F6DFE7" w14:textId="77777777" w:rsidR="005B6D95" w:rsidRPr="009C725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 w:rsidRPr="009C7255">
                    <w:rPr>
                      <w:rFonts w:cs="Arial"/>
                      <w:b/>
                      <w:szCs w:val="22"/>
                    </w:rPr>
                    <w:t>C</w:t>
                  </w:r>
                  <w:r>
                    <w:rPr>
                      <w:rFonts w:cs="Arial"/>
                      <w:b/>
                      <w:szCs w:val="22"/>
                    </w:rPr>
                    <w:t xml:space="preserve">ommunity </w:t>
                  </w:r>
                  <w:r w:rsidRPr="009C7255">
                    <w:rPr>
                      <w:rFonts w:cs="Arial"/>
                      <w:b/>
                      <w:szCs w:val="22"/>
                    </w:rPr>
                    <w:t>S</w:t>
                  </w:r>
                  <w:r>
                    <w:rPr>
                      <w:rFonts w:cs="Arial"/>
                      <w:b/>
                      <w:szCs w:val="22"/>
                    </w:rPr>
                    <w:t>afety</w:t>
                  </w:r>
                  <w:r w:rsidRPr="009C7255">
                    <w:rPr>
                      <w:rFonts w:cs="Arial"/>
                      <w:b/>
                      <w:szCs w:val="22"/>
                    </w:rPr>
                    <w:t xml:space="preserve"> Total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50F8730A" w14:textId="6DC76C19" w:rsidR="005B6D95" w:rsidRPr="009C7255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£263,19</w:t>
                  </w:r>
                  <w:r w:rsidR="002675A6">
                    <w:rPr>
                      <w:rFonts w:cs="Arial"/>
                      <w:b/>
                      <w:szCs w:val="22"/>
                    </w:rPr>
                    <w:t>2</w:t>
                  </w:r>
                </w:p>
              </w:tc>
            </w:tr>
            <w:tr w:rsidR="009834F7" w:rsidRPr="00A30EB1" w14:paraId="731DEE12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5DF78E74" w14:textId="28F96B29" w:rsidR="009834F7" w:rsidRPr="009C7255" w:rsidRDefault="009834F7" w:rsidP="00E7544B">
                  <w:pPr>
                    <w:pStyle w:val="Paragraph"/>
                    <w:tabs>
                      <w:tab w:val="left" w:pos="5325"/>
                    </w:tabs>
                    <w:ind w:left="0" w:firstLine="0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lastRenderedPageBreak/>
                    <w:t>Caerphilly and Blaenau Gwent YOS</w:t>
                  </w:r>
                  <w:r w:rsidR="00E7544B">
                    <w:rPr>
                      <w:rFonts w:cs="Arial"/>
                      <w:szCs w:val="22"/>
                    </w:rPr>
                    <w:tab/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7D20EC80" w14:textId="6280D168" w:rsidR="009834F7" w:rsidRPr="009834F7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Cs/>
                      <w:szCs w:val="22"/>
                    </w:rPr>
                  </w:pPr>
                  <w:r>
                    <w:rPr>
                      <w:rFonts w:cs="Arial"/>
                      <w:bCs/>
                      <w:szCs w:val="22"/>
                    </w:rPr>
                    <w:t>£89,024</w:t>
                  </w:r>
                </w:p>
              </w:tc>
            </w:tr>
            <w:tr w:rsidR="005B6D95" w:rsidRPr="00A30EB1" w14:paraId="6BE86A1C" w14:textId="77777777" w:rsidTr="009C7255">
              <w:trPr>
                <w:trHeight w:val="157"/>
              </w:trPr>
              <w:tc>
                <w:tcPr>
                  <w:tcW w:w="6383" w:type="dxa"/>
                </w:tcPr>
                <w:p w14:paraId="5E43273E" w14:textId="77777777" w:rsidR="005B6D95" w:rsidRPr="00A30EB1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Monmouthshire and Torfaen YOS</w:t>
                  </w:r>
                </w:p>
              </w:tc>
              <w:tc>
                <w:tcPr>
                  <w:tcW w:w="1929" w:type="dxa"/>
                </w:tcPr>
                <w:p w14:paraId="5145555B" w14:textId="052CD170" w:rsidR="005B6D95" w:rsidRPr="00A30EB1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£66,601</w:t>
                  </w:r>
                </w:p>
              </w:tc>
            </w:tr>
            <w:tr w:rsidR="005B6D95" w:rsidRPr="00A30EB1" w14:paraId="413EB204" w14:textId="77777777" w:rsidTr="009C7255">
              <w:trPr>
                <w:trHeight w:val="157"/>
              </w:trPr>
              <w:tc>
                <w:tcPr>
                  <w:tcW w:w="6383" w:type="dxa"/>
                </w:tcPr>
                <w:p w14:paraId="4E3B9D25" w14:textId="77777777" w:rsidR="005B6D95" w:rsidRPr="00A30EB1" w:rsidRDefault="005B6D95" w:rsidP="005B6D95">
                  <w:pPr>
                    <w:pStyle w:val="Paragraph"/>
                    <w:ind w:left="0" w:firstLine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Newport YOS</w:t>
                  </w:r>
                </w:p>
              </w:tc>
              <w:tc>
                <w:tcPr>
                  <w:tcW w:w="1929" w:type="dxa"/>
                </w:tcPr>
                <w:p w14:paraId="600880B6" w14:textId="79586828" w:rsidR="005B6D95" w:rsidRPr="00A30EB1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£69,325</w:t>
                  </w:r>
                </w:p>
              </w:tc>
            </w:tr>
            <w:tr w:rsidR="005B6D95" w:rsidRPr="00A30EB1" w14:paraId="77244440" w14:textId="77777777" w:rsidTr="009C7255">
              <w:trPr>
                <w:trHeight w:val="22"/>
              </w:trPr>
              <w:tc>
                <w:tcPr>
                  <w:tcW w:w="6383" w:type="dxa"/>
                </w:tcPr>
                <w:p w14:paraId="1D400C83" w14:textId="77777777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Youth Offending Total </w:t>
                  </w:r>
                </w:p>
              </w:tc>
              <w:tc>
                <w:tcPr>
                  <w:tcW w:w="1929" w:type="dxa"/>
                </w:tcPr>
                <w:p w14:paraId="3D2CB4E3" w14:textId="39E72DA8" w:rsidR="005B6D95" w:rsidRPr="00FC0149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£224,95</w:t>
                  </w:r>
                  <w:r w:rsidR="002675A6">
                    <w:rPr>
                      <w:rFonts w:cs="Arial"/>
                      <w:b/>
                      <w:szCs w:val="22"/>
                    </w:rPr>
                    <w:t>0</w:t>
                  </w:r>
                </w:p>
              </w:tc>
            </w:tr>
            <w:tr w:rsidR="005B6D95" w:rsidRPr="00A30EB1" w14:paraId="21B99C66" w14:textId="77777777" w:rsidTr="009C7255">
              <w:trPr>
                <w:trHeight w:val="22"/>
              </w:trPr>
              <w:tc>
                <w:tcPr>
                  <w:tcW w:w="6383" w:type="dxa"/>
                </w:tcPr>
                <w:p w14:paraId="455B38A5" w14:textId="77777777" w:rsidR="005B6D9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929" w:type="dxa"/>
                </w:tcPr>
                <w:p w14:paraId="5798F346" w14:textId="6EBBB0E6" w:rsidR="005B6D95" w:rsidRPr="00FC0149" w:rsidRDefault="00E7544B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£488,14</w:t>
                  </w:r>
                  <w:r w:rsidR="00514404">
                    <w:rPr>
                      <w:rFonts w:cs="Arial"/>
                      <w:b/>
                      <w:szCs w:val="22"/>
                    </w:rPr>
                    <w:t>2</w:t>
                  </w:r>
                </w:p>
              </w:tc>
            </w:tr>
          </w:tbl>
          <w:p w14:paraId="68B1B1F8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56AC9" w14:textId="03AE00BE" w:rsidR="006D781F" w:rsidRDefault="009834F7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Each Local Authority 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and YOS across Gwent have </w:t>
            </w:r>
            <w:r>
              <w:rPr>
                <w:rFonts w:ascii="Arial" w:hAnsi="Arial" w:cs="Arial"/>
                <w:sz w:val="24"/>
                <w:szCs w:val="24"/>
              </w:rPr>
              <w:t>submitted proposal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outlining how their community safety and youth offending funding will be spen</w:t>
            </w:r>
            <w:r w:rsidR="00DD56A9">
              <w:rPr>
                <w:rFonts w:ascii="Arial" w:hAnsi="Arial" w:cs="Arial"/>
                <w:sz w:val="24"/>
                <w:szCs w:val="24"/>
              </w:rPr>
              <w:t>t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 and these p</w:t>
            </w:r>
            <w:r>
              <w:rPr>
                <w:rFonts w:ascii="Arial" w:hAnsi="Arial" w:cs="Arial"/>
                <w:sz w:val="24"/>
                <w:szCs w:val="24"/>
              </w:rPr>
              <w:t>roposals have been reviewed</w:t>
            </w:r>
            <w:r w:rsidR="0083274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DE65E1" w14:textId="77777777" w:rsidR="006D781F" w:rsidRDefault="006D781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F990FD" w14:textId="00C400B0" w:rsidR="006D781F" w:rsidRPr="001D04C7" w:rsidRDefault="009834F7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accepted the recommendations made to award each Local Authority 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and YOS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full allocation that has been made available to them. </w:t>
            </w:r>
          </w:p>
          <w:p w14:paraId="413C14F3" w14:textId="77777777" w:rsidR="00957874" w:rsidRPr="001D04C7" w:rsidRDefault="00957874" w:rsidP="00543F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16DB073F" w14:textId="77777777" w:rsidTr="00514404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93B6CE0" w14:textId="24476BC4" w:rsidR="004D7673" w:rsidRPr="00933DD9" w:rsidRDefault="00BF120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4D76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199" w14:textId="77777777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>will be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5060245A" w14:textId="3665019B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FF230D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monitor the progress of funded projects, and provide reassurance that funding allocated is effectively meeting Policing Priorities in Gwent, as outlined in the Police and </w:t>
            </w:r>
            <w:r w:rsidR="00DD56A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341BA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135F6C43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Activity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EC8F877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Outputs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0EF0DAEE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Outcomes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90B8CF0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Breakdown of financial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expenditure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5B2AC108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2341B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123C34B0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2341BA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ABE032E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CBAE0" w14:textId="77777777" w:rsidR="001D04C7" w:rsidRDefault="001D04C7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="00DD6CFE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 w:rsidR="002341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56B8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2341BA"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gain assurance and clarity in relation to project deliverables and outcomes</w:t>
            </w:r>
            <w:r w:rsidR="002756B8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 w:rsidR="002756B8">
              <w:rPr>
                <w:rFonts w:ascii="Arial" w:hAnsi="Arial" w:cs="Arial"/>
                <w:sz w:val="24"/>
                <w:szCs w:val="24"/>
              </w:rPr>
              <w:t>te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6FEA01EF" w14:textId="77777777" w:rsidR="00BF120D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91080" w14:textId="0B1E5121" w:rsidR="00F12D58" w:rsidRPr="001D04C7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="00192053">
              <w:rPr>
                <w:rFonts w:ascii="Arial" w:hAnsi="Arial" w:cs="Arial"/>
                <w:sz w:val="24"/>
                <w:szCs w:val="24"/>
              </w:rPr>
              <w:t>projects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will be required to accept the terms and conditions of the grant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</w:tc>
      </w:tr>
    </w:tbl>
    <w:tbl>
      <w:tblPr>
        <w:tblpPr w:leftFromText="180" w:rightFromText="180" w:vertAnchor="text" w:horzAnchor="margin" w:tblpXSpec="right" w:tblpY="-469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261"/>
      </w:tblGrid>
      <w:tr w:rsidR="002675A6" w:rsidRPr="00933DD9" w14:paraId="6E3AE093" w14:textId="77777777" w:rsidTr="00514404">
        <w:tc>
          <w:tcPr>
            <w:tcW w:w="8515" w:type="dxa"/>
            <w:gridSpan w:val="2"/>
            <w:shd w:val="clear" w:color="auto" w:fill="auto"/>
          </w:tcPr>
          <w:p w14:paraId="6C6B5F7B" w14:textId="77777777" w:rsidR="002675A6" w:rsidRPr="00933DD9" w:rsidRDefault="002675A6" w:rsidP="002675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23E">
              <w:rPr>
                <w:rFonts w:ascii="Arial" w:hAnsi="Arial" w:cs="Arial"/>
                <w:b/>
                <w:sz w:val="24"/>
                <w:szCs w:val="24"/>
              </w:rPr>
              <w:lastRenderedPageBreak/>
              <w:t>Jane Mudd, Police and Crime Commissioner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23E">
              <w:rPr>
                <w:rFonts w:ascii="Arial" w:hAnsi="Arial" w:cs="Arial"/>
                <w:b/>
                <w:sz w:val="24"/>
                <w:szCs w:val="24"/>
              </w:rPr>
              <w:t>for Gwent</w:t>
            </w:r>
          </w:p>
        </w:tc>
      </w:tr>
      <w:tr w:rsidR="002675A6" w:rsidRPr="00933DD9" w14:paraId="4C848270" w14:textId="77777777" w:rsidTr="00514404">
        <w:tc>
          <w:tcPr>
            <w:tcW w:w="8515" w:type="dxa"/>
            <w:gridSpan w:val="2"/>
            <w:shd w:val="clear" w:color="auto" w:fill="auto"/>
          </w:tcPr>
          <w:p w14:paraId="63C66102" w14:textId="77777777" w:rsidR="002675A6" w:rsidRPr="00933DD9" w:rsidRDefault="002675A6" w:rsidP="002675A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2675A6" w:rsidRPr="00933DD9" w14:paraId="6F2C4BC5" w14:textId="77777777" w:rsidTr="00514404">
        <w:tc>
          <w:tcPr>
            <w:tcW w:w="4254" w:type="dxa"/>
            <w:shd w:val="clear" w:color="auto" w:fill="auto"/>
          </w:tcPr>
          <w:p w14:paraId="128CCE12" w14:textId="77777777" w:rsidR="002675A6" w:rsidRDefault="002675A6" w:rsidP="002675A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3ECA31AD" w14:textId="71430B56" w:rsidR="002675A6" w:rsidRPr="00933DD9" w:rsidRDefault="00B75F3B" w:rsidP="0026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416CE5D" wp14:editId="69F7A3D1">
                  <wp:extent cx="1676400" cy="4908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6DE088F8" w14:textId="77777777" w:rsidR="002675A6" w:rsidRDefault="002675A6" w:rsidP="002675A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07B7EA7" w14:textId="33298C9A" w:rsidR="00B75F3B" w:rsidRDefault="00B75F3B" w:rsidP="0026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  <w:p w14:paraId="59F38B1A" w14:textId="77777777" w:rsidR="002675A6" w:rsidRPr="00933DD9" w:rsidRDefault="002675A6" w:rsidP="002675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B1C264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5083"/>
      </w:tblGrid>
      <w:tr w:rsidR="00192053" w:rsidRPr="00933DD9" w14:paraId="4365E26C" w14:textId="77777777" w:rsidTr="00514404">
        <w:tc>
          <w:tcPr>
            <w:tcW w:w="3427" w:type="dxa"/>
            <w:shd w:val="clear" w:color="auto" w:fill="auto"/>
          </w:tcPr>
          <w:p w14:paraId="00464196" w14:textId="77777777" w:rsidR="00192053" w:rsidRPr="00933DD9" w:rsidRDefault="00192053" w:rsidP="002675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083" w:type="dxa"/>
            <w:shd w:val="clear" w:color="auto" w:fill="auto"/>
          </w:tcPr>
          <w:p w14:paraId="224EC846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053" w:rsidRPr="00933DD9" w14:paraId="3782ECE4" w14:textId="77777777" w:rsidTr="00514404">
        <w:tc>
          <w:tcPr>
            <w:tcW w:w="3427" w:type="dxa"/>
            <w:shd w:val="clear" w:color="auto" w:fill="auto"/>
          </w:tcPr>
          <w:p w14:paraId="36AC2BEA" w14:textId="77777777" w:rsidR="00192053" w:rsidRPr="00933DD9" w:rsidRDefault="00192053" w:rsidP="002675A6">
            <w:pPr>
              <w:ind w:left="174" w:hanging="174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083" w:type="dxa"/>
            <w:shd w:val="clear" w:color="auto" w:fill="auto"/>
          </w:tcPr>
          <w:p w14:paraId="061D9251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James</w:t>
            </w:r>
          </w:p>
        </w:tc>
      </w:tr>
      <w:tr w:rsidR="00192053" w:rsidRPr="00933DD9" w14:paraId="6D87388D" w14:textId="77777777" w:rsidTr="00514404">
        <w:tc>
          <w:tcPr>
            <w:tcW w:w="3427" w:type="dxa"/>
            <w:shd w:val="clear" w:color="auto" w:fill="auto"/>
          </w:tcPr>
          <w:p w14:paraId="34C6BAE6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083" w:type="dxa"/>
            <w:shd w:val="clear" w:color="auto" w:fill="auto"/>
          </w:tcPr>
          <w:p w14:paraId="46FCDBC0" w14:textId="439451F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Commissioning </w:t>
            </w:r>
            <w:r w:rsidR="002B0136">
              <w:rPr>
                <w:rFonts w:ascii="Arial" w:hAnsi="Arial" w:cs="Arial"/>
                <w:sz w:val="24"/>
                <w:szCs w:val="24"/>
              </w:rPr>
              <w:t xml:space="preserve">and Funding </w:t>
            </w:r>
            <w:r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</w:tr>
      <w:tr w:rsidR="00192053" w:rsidRPr="00933DD9" w14:paraId="4754A776" w14:textId="77777777" w:rsidTr="00514404">
        <w:tc>
          <w:tcPr>
            <w:tcW w:w="3427" w:type="dxa"/>
            <w:shd w:val="clear" w:color="auto" w:fill="auto"/>
          </w:tcPr>
          <w:p w14:paraId="77917753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083" w:type="dxa"/>
            <w:shd w:val="clear" w:color="auto" w:fill="auto"/>
          </w:tcPr>
          <w:p w14:paraId="229B9FF8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  <w:lang w:eastAsia="en-GB"/>
              </w:rPr>
              <w:t>07977 529401</w:t>
            </w:r>
          </w:p>
        </w:tc>
      </w:tr>
      <w:tr w:rsidR="00192053" w:rsidRPr="00933DD9" w14:paraId="3809411B" w14:textId="77777777" w:rsidTr="00514404">
        <w:tc>
          <w:tcPr>
            <w:tcW w:w="3427" w:type="dxa"/>
            <w:shd w:val="clear" w:color="auto" w:fill="auto"/>
          </w:tcPr>
          <w:p w14:paraId="15A946D1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83" w:type="dxa"/>
            <w:shd w:val="clear" w:color="auto" w:fill="auto"/>
          </w:tcPr>
          <w:p w14:paraId="1A0E7773" w14:textId="77777777" w:rsidR="00192053" w:rsidRPr="00933DD9" w:rsidRDefault="00192053" w:rsidP="002675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rob.james@gwent.police.uk</w:t>
            </w:r>
          </w:p>
        </w:tc>
      </w:tr>
      <w:tr w:rsidR="00192053" w:rsidRPr="00933DD9" w14:paraId="7A8AE7C6" w14:textId="77777777" w:rsidTr="00514404">
        <w:tc>
          <w:tcPr>
            <w:tcW w:w="3427" w:type="dxa"/>
            <w:shd w:val="clear" w:color="auto" w:fill="auto"/>
          </w:tcPr>
          <w:p w14:paraId="561389D7" w14:textId="77777777" w:rsidR="00192053" w:rsidRPr="00933DD9" w:rsidRDefault="00192053" w:rsidP="002675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083" w:type="dxa"/>
            <w:shd w:val="clear" w:color="auto" w:fill="auto"/>
          </w:tcPr>
          <w:p w14:paraId="469BDF90" w14:textId="77777777" w:rsidR="00192053" w:rsidRDefault="00192053" w:rsidP="002675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DC64B6" w14:textId="77777777" w:rsidR="00192053" w:rsidRDefault="00192053" w:rsidP="002675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and Youth Offending Guidance and Criteria 2025/26</w:t>
            </w:r>
          </w:p>
          <w:p w14:paraId="76108C4E" w14:textId="77777777" w:rsidR="00192053" w:rsidRDefault="00192053" w:rsidP="002675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3E385A4" w14:textId="77777777" w:rsidR="00192053" w:rsidRPr="00933DD9" w:rsidRDefault="00192053" w:rsidP="002675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and Youth Offending Proposals 2025/26</w:t>
            </w:r>
          </w:p>
        </w:tc>
      </w:tr>
    </w:tbl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5144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97AE" w14:textId="77777777" w:rsidR="007D213C" w:rsidRDefault="007D213C" w:rsidP="00DE22AB">
      <w:pPr>
        <w:spacing w:after="0" w:line="240" w:lineRule="auto"/>
      </w:pPr>
      <w:r>
        <w:separator/>
      </w:r>
    </w:p>
  </w:endnote>
  <w:endnote w:type="continuationSeparator" w:id="0">
    <w:p w14:paraId="2A8FCECC" w14:textId="77777777" w:rsidR="007D213C" w:rsidRDefault="007D213C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5CB3" w14:textId="77777777" w:rsidR="007D213C" w:rsidRDefault="007D213C" w:rsidP="00DE22AB">
      <w:pPr>
        <w:spacing w:after="0" w:line="240" w:lineRule="auto"/>
      </w:pPr>
      <w:r>
        <w:separator/>
      </w:r>
    </w:p>
  </w:footnote>
  <w:footnote w:type="continuationSeparator" w:id="0">
    <w:p w14:paraId="5AA2AD19" w14:textId="77777777" w:rsidR="007D213C" w:rsidRDefault="007D213C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7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8"/>
  </w:num>
  <w:num w:numId="8" w16cid:durableId="1430587291">
    <w:abstractNumId w:val="9"/>
  </w:num>
  <w:num w:numId="9" w16cid:durableId="1782845608">
    <w:abstractNumId w:val="2"/>
  </w:num>
  <w:num w:numId="10" w16cid:durableId="142095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2CED"/>
    <w:rsid w:val="00007D9C"/>
    <w:rsid w:val="000267FF"/>
    <w:rsid w:val="000362B5"/>
    <w:rsid w:val="000409AB"/>
    <w:rsid w:val="00043F0E"/>
    <w:rsid w:val="0008452F"/>
    <w:rsid w:val="00093560"/>
    <w:rsid w:val="000C63F5"/>
    <w:rsid w:val="000E2E2D"/>
    <w:rsid w:val="000F0BC3"/>
    <w:rsid w:val="000F1872"/>
    <w:rsid w:val="00116A3F"/>
    <w:rsid w:val="00130EA2"/>
    <w:rsid w:val="00131773"/>
    <w:rsid w:val="001452E1"/>
    <w:rsid w:val="00147B75"/>
    <w:rsid w:val="001512EF"/>
    <w:rsid w:val="00160BFC"/>
    <w:rsid w:val="00160EBB"/>
    <w:rsid w:val="0016122E"/>
    <w:rsid w:val="00192053"/>
    <w:rsid w:val="00193194"/>
    <w:rsid w:val="001978D9"/>
    <w:rsid w:val="001B6D9C"/>
    <w:rsid w:val="001B773A"/>
    <w:rsid w:val="001C1D7B"/>
    <w:rsid w:val="001D04C7"/>
    <w:rsid w:val="001D69A6"/>
    <w:rsid w:val="00202626"/>
    <w:rsid w:val="00213F43"/>
    <w:rsid w:val="0022477E"/>
    <w:rsid w:val="002341BA"/>
    <w:rsid w:val="00255BCD"/>
    <w:rsid w:val="0025617B"/>
    <w:rsid w:val="002675A6"/>
    <w:rsid w:val="00270B18"/>
    <w:rsid w:val="002756B8"/>
    <w:rsid w:val="00277CC5"/>
    <w:rsid w:val="00292481"/>
    <w:rsid w:val="00293F07"/>
    <w:rsid w:val="002A0E83"/>
    <w:rsid w:val="002A3E1E"/>
    <w:rsid w:val="002B0136"/>
    <w:rsid w:val="002D39E9"/>
    <w:rsid w:val="002E31B3"/>
    <w:rsid w:val="002F62CE"/>
    <w:rsid w:val="00320095"/>
    <w:rsid w:val="003213F0"/>
    <w:rsid w:val="0034702F"/>
    <w:rsid w:val="00353B5A"/>
    <w:rsid w:val="00365963"/>
    <w:rsid w:val="003815B6"/>
    <w:rsid w:val="00390764"/>
    <w:rsid w:val="003B0342"/>
    <w:rsid w:val="003B662E"/>
    <w:rsid w:val="003B7FA3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14404"/>
    <w:rsid w:val="00514E44"/>
    <w:rsid w:val="00523679"/>
    <w:rsid w:val="00543FDA"/>
    <w:rsid w:val="00562D22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731"/>
    <w:rsid w:val="00621046"/>
    <w:rsid w:val="00621805"/>
    <w:rsid w:val="0063646A"/>
    <w:rsid w:val="006607EA"/>
    <w:rsid w:val="00672410"/>
    <w:rsid w:val="006B50C7"/>
    <w:rsid w:val="006B7150"/>
    <w:rsid w:val="006D781F"/>
    <w:rsid w:val="006F3A19"/>
    <w:rsid w:val="006F7DFF"/>
    <w:rsid w:val="007027BF"/>
    <w:rsid w:val="00703D76"/>
    <w:rsid w:val="0071014D"/>
    <w:rsid w:val="007209BF"/>
    <w:rsid w:val="0073426F"/>
    <w:rsid w:val="007440EB"/>
    <w:rsid w:val="00752768"/>
    <w:rsid w:val="007604AD"/>
    <w:rsid w:val="00762ACB"/>
    <w:rsid w:val="007674CB"/>
    <w:rsid w:val="007716E5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21CB"/>
    <w:rsid w:val="007F39C1"/>
    <w:rsid w:val="00823422"/>
    <w:rsid w:val="00832742"/>
    <w:rsid w:val="00836604"/>
    <w:rsid w:val="00844578"/>
    <w:rsid w:val="0087243D"/>
    <w:rsid w:val="0088023E"/>
    <w:rsid w:val="0089396D"/>
    <w:rsid w:val="008A1553"/>
    <w:rsid w:val="008B24F6"/>
    <w:rsid w:val="008D0129"/>
    <w:rsid w:val="008E53A0"/>
    <w:rsid w:val="00915C84"/>
    <w:rsid w:val="00923CB9"/>
    <w:rsid w:val="00927A0A"/>
    <w:rsid w:val="00933DD9"/>
    <w:rsid w:val="00957874"/>
    <w:rsid w:val="00966E9E"/>
    <w:rsid w:val="009834F7"/>
    <w:rsid w:val="00987D01"/>
    <w:rsid w:val="009A64DB"/>
    <w:rsid w:val="009B308D"/>
    <w:rsid w:val="009C7255"/>
    <w:rsid w:val="009D678F"/>
    <w:rsid w:val="009F3815"/>
    <w:rsid w:val="00A12607"/>
    <w:rsid w:val="00A36DF4"/>
    <w:rsid w:val="00A43B80"/>
    <w:rsid w:val="00A50103"/>
    <w:rsid w:val="00A567D8"/>
    <w:rsid w:val="00A605CC"/>
    <w:rsid w:val="00A6101D"/>
    <w:rsid w:val="00A645AC"/>
    <w:rsid w:val="00A82E5E"/>
    <w:rsid w:val="00A94261"/>
    <w:rsid w:val="00A963B4"/>
    <w:rsid w:val="00AA5633"/>
    <w:rsid w:val="00AB151E"/>
    <w:rsid w:val="00AF5AF4"/>
    <w:rsid w:val="00B1223D"/>
    <w:rsid w:val="00B15C10"/>
    <w:rsid w:val="00B23E41"/>
    <w:rsid w:val="00B608C5"/>
    <w:rsid w:val="00B726EC"/>
    <w:rsid w:val="00B72DBE"/>
    <w:rsid w:val="00B75F3B"/>
    <w:rsid w:val="00BB37E3"/>
    <w:rsid w:val="00BB7344"/>
    <w:rsid w:val="00BD4EAE"/>
    <w:rsid w:val="00BF120D"/>
    <w:rsid w:val="00BF44B2"/>
    <w:rsid w:val="00C36DC2"/>
    <w:rsid w:val="00C419F2"/>
    <w:rsid w:val="00C43D7D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1DE4"/>
    <w:rsid w:val="00D33208"/>
    <w:rsid w:val="00D37B81"/>
    <w:rsid w:val="00D5511E"/>
    <w:rsid w:val="00D8752E"/>
    <w:rsid w:val="00D92087"/>
    <w:rsid w:val="00DD56A9"/>
    <w:rsid w:val="00DD6CFE"/>
    <w:rsid w:val="00DE22AB"/>
    <w:rsid w:val="00DE6007"/>
    <w:rsid w:val="00E01E22"/>
    <w:rsid w:val="00E04739"/>
    <w:rsid w:val="00E069CE"/>
    <w:rsid w:val="00E34259"/>
    <w:rsid w:val="00E34B94"/>
    <w:rsid w:val="00E37EF5"/>
    <w:rsid w:val="00E512A9"/>
    <w:rsid w:val="00E53143"/>
    <w:rsid w:val="00E56EE4"/>
    <w:rsid w:val="00E63F24"/>
    <w:rsid w:val="00E7544B"/>
    <w:rsid w:val="00E758FF"/>
    <w:rsid w:val="00E907EC"/>
    <w:rsid w:val="00EA3BE6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B58C6"/>
    <w:rsid w:val="00FC0149"/>
    <w:rsid w:val="00FD2C9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2</cp:revision>
  <cp:lastPrinted>2012-12-06T11:30:00Z</cp:lastPrinted>
  <dcterms:created xsi:type="dcterms:W3CDTF">2025-03-18T15:56:00Z</dcterms:created>
  <dcterms:modified xsi:type="dcterms:W3CDTF">2025-03-18T15:56:00Z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